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926F" w14:textId="77777777" w:rsidR="000A1FF9" w:rsidRPr="00112775" w:rsidRDefault="000A1FF9" w:rsidP="000A1FF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3FA09AC5" w14:textId="77777777" w:rsidR="000A1FF9" w:rsidRPr="00112775" w:rsidRDefault="000A1FF9" w:rsidP="000A1FF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Ausfall-Zugfunk</w:t>
      </w:r>
    </w:p>
    <w:p w14:paraId="0F5E475E" w14:textId="77777777" w:rsidR="000A1FF9" w:rsidRPr="00112775" w:rsidRDefault="000A1FF9" w:rsidP="000A1FF9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Nichtverfügbarkeit des Zugfunks</w:t>
      </w:r>
    </w:p>
    <w:p w14:paraId="14B8D22F" w14:textId="77777777" w:rsidR="000A1FF9" w:rsidRPr="00112775" w:rsidRDefault="000A1FF9" w:rsidP="000A1FF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11641777" w14:textId="77777777" w:rsidR="000A1FF9" w:rsidRPr="00112775" w:rsidRDefault="000A1FF9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steht der Zugfunk</w:t>
      </w:r>
    </w:p>
    <w:p w14:paraId="47E4E129" w14:textId="77777777" w:rsidR="000A1FF9" w:rsidRPr="00112775" w:rsidRDefault="000A1FF9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(zwischen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</w:t>
      </w:r>
    </w:p>
    <w:p w14:paraId="329EACD3" w14:textId="77777777" w:rsidR="000A1FF9" w:rsidRDefault="000A1FF9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zeitweise nicht zur Verfügung.</w:t>
      </w:r>
    </w:p>
    <w:p w14:paraId="59B822CD" w14:textId="77777777" w:rsidR="00F345D4" w:rsidRDefault="00F345D4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C58E6B5" w14:textId="77777777" w:rsidR="000A1FF9" w:rsidRPr="00112775" w:rsidRDefault="000A1FF9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Die Bekanntgabe des Ausfalls in der La ist i. d. R. nur erforderlich,</w:t>
      </w:r>
    </w:p>
    <w:p w14:paraId="49976F3E" w14:textId="77777777" w:rsidR="000A1FF9" w:rsidRPr="00112775" w:rsidRDefault="000A1FF9" w:rsidP="000A1FF9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b/>
          <w:bCs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wenn die Ausfallzeit des Funks größer als 30 Minuten ist.</w:t>
      </w:r>
    </w:p>
    <w:p w14:paraId="51936DEC" w14:textId="77777777" w:rsidR="000A1FF9" w:rsidRPr="00112775" w:rsidRDefault="000A1FF9" w:rsidP="000A1FF9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Ist der betroffene Bereich mit gestörter GSM-R-Funkversorgung kürzer als 8 km bzw. bei Strecken mit zulässiger Streckengeschwindigkeit &gt; 160 km/h kürzer als 15 km, darf kein Eintrag „Umschalten in P-GSM-D“ in der La aufgenommen werden.</w:t>
      </w:r>
    </w:p>
    <w:sectPr w:rsidR="000A1FF9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29E1" w14:textId="77777777" w:rsidR="00E7471E" w:rsidRDefault="00E7471E">
      <w:r>
        <w:separator/>
      </w:r>
    </w:p>
    <w:p w14:paraId="272978FA" w14:textId="77777777" w:rsidR="00E7471E" w:rsidRDefault="00E7471E"/>
  </w:endnote>
  <w:endnote w:type="continuationSeparator" w:id="0">
    <w:p w14:paraId="57272794" w14:textId="77777777" w:rsidR="00E7471E" w:rsidRDefault="00E7471E">
      <w:r>
        <w:continuationSeparator/>
      </w:r>
    </w:p>
    <w:p w14:paraId="1426330F" w14:textId="77777777" w:rsidR="00E7471E" w:rsidRDefault="00E7471E"/>
  </w:endnote>
  <w:endnote w:type="continuationNotice" w:id="1">
    <w:p w14:paraId="397A32EB" w14:textId="77777777" w:rsidR="00E7471E" w:rsidRDefault="00E747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16B49" w14:textId="77777777" w:rsidR="00D04F28" w:rsidRDefault="00D04F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28D689B" w:rsidR="00541D85" w:rsidRPr="004C31EE" w:rsidRDefault="00D04F2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Betra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49AA" w14:textId="77777777" w:rsidR="00D04F28" w:rsidRDefault="00D04F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510B" w14:textId="77777777" w:rsidR="00E7471E" w:rsidRDefault="00E7471E">
      <w:r>
        <w:separator/>
      </w:r>
    </w:p>
    <w:p w14:paraId="2986E040" w14:textId="77777777" w:rsidR="00E7471E" w:rsidRDefault="00E7471E"/>
  </w:footnote>
  <w:footnote w:type="continuationSeparator" w:id="0">
    <w:p w14:paraId="11130145" w14:textId="77777777" w:rsidR="00E7471E" w:rsidRDefault="00E7471E">
      <w:r>
        <w:continuationSeparator/>
      </w:r>
    </w:p>
    <w:p w14:paraId="212469B8" w14:textId="77777777" w:rsidR="00E7471E" w:rsidRDefault="00E7471E"/>
  </w:footnote>
  <w:footnote w:type="continuationNotice" w:id="1">
    <w:p w14:paraId="318A76D7" w14:textId="77777777" w:rsidR="00E7471E" w:rsidRDefault="00E747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AE0A" w14:textId="77777777" w:rsidR="00D04F28" w:rsidRDefault="00D04F2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1FF9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58B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5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4F28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71E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5D4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