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0B9B" w14:textId="77777777" w:rsidR="00D23B82" w:rsidRPr="00112775" w:rsidRDefault="00D23B82" w:rsidP="00D23B8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53351CF6" w14:textId="77777777" w:rsidR="00D23B82" w:rsidRPr="00112775" w:rsidRDefault="00D23B82" w:rsidP="00D23B8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Heißläuferortung</w:t>
      </w:r>
    </w:p>
    <w:p w14:paraId="37A4F9AF" w14:textId="77777777" w:rsidR="00D23B82" w:rsidRPr="00112775" w:rsidRDefault="00D23B82" w:rsidP="00D23B82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Ausbau / Außerbetriebsetzung von</w:t>
      </w:r>
    </w:p>
    <w:p w14:paraId="4F0B9321" w14:textId="77777777" w:rsidR="00D23B82" w:rsidRPr="00112775" w:rsidRDefault="00D23B82" w:rsidP="00D23B82">
      <w:pPr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Heißläuferortungsanlagen (HOA) / Festbremsortungsanlagen (FBOA) / Detektionsanlagen für unrunde Räder (DAFUR)</w:t>
      </w:r>
    </w:p>
    <w:p w14:paraId="0A1829B1" w14:textId="77777777" w:rsidR="00D23B82" w:rsidRPr="00112775" w:rsidRDefault="00D23B82" w:rsidP="00D23B82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C041077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HOA/FBOA/DAFUR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2F882AB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vor Beginn der Arbeiten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2B9A101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ausgebaut / außer Betrieb gesetzt</w:t>
      </w:r>
    </w:p>
    <w:p w14:paraId="166276C3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und nach Beendigung der Arbeiten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A72D0AF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wieder eingebaut / in Betrieb genommen.</w:t>
      </w:r>
    </w:p>
    <w:p w14:paraId="01BCAC1C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</w:p>
    <w:p w14:paraId="3E235C2E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Maßnahmen: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D94186B" w14:textId="77777777" w:rsidR="00D23B82" w:rsidRPr="00112775" w:rsidRDefault="00D23B82" w:rsidP="00D23B82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(Verlegung der HOA/FBOA/DAFUR in das benachbarte zu befahrende Gleis / Einsatz von Zugbeobachtern / Zugbeobachtung durch Fdl gemäß örtlichen Zusätzen zur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484)</w:t>
      </w:r>
    </w:p>
    <w:p w14:paraId="6839C954" w14:textId="77777777" w:rsidR="00D23B82" w:rsidRPr="00112775" w:rsidRDefault="00D23B82" w:rsidP="00D23B82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D23B82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C09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B82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