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D5BD8" w14:textId="77777777" w:rsidR="00C00A16" w:rsidRPr="00112775" w:rsidRDefault="00C00A16" w:rsidP="00C00A1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31.07.2023</w:t>
      </w:r>
    </w:p>
    <w:p w14:paraId="1B995F70" w14:textId="77777777" w:rsidR="00C00A16" w:rsidRPr="00112775" w:rsidRDefault="00C00A16" w:rsidP="00C00A1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LZB-Lösch</w:t>
      </w:r>
    </w:p>
    <w:p w14:paraId="65EF09BA" w14:textId="77777777" w:rsidR="00C00A16" w:rsidRPr="00112775" w:rsidRDefault="00C00A16" w:rsidP="00C00A16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3.1.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Löschung von LZB-Eingaben</w:t>
      </w:r>
    </w:p>
    <w:p w14:paraId="3FFB396F" w14:textId="77777777" w:rsidR="00C00A16" w:rsidRPr="00112775" w:rsidRDefault="00C00A16" w:rsidP="00C00A16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Der zuständige Fdl löscht die / veranlasst die Löschung der LZB-Langsamfahrstelle/n / Linienleiterschleifensperre/n nachdem der Berechtigte gemäß Abschnitt 4.2 der Löschung zugestimmt hat.</w:t>
      </w:r>
    </w:p>
    <w:sectPr w:rsidR="00C00A16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r w:rsidR="00B2066B">
      <w:rPr>
        <w:rFonts w:ascii="DB Office" w:hAnsi="DB Office"/>
        <w:snapToGrid w:val="0"/>
        <w:sz w:val="22"/>
        <w:szCs w:val="22"/>
      </w:rPr>
      <w:t>Betra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14D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6F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0A16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7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