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D791" w14:textId="77777777" w:rsidR="004F6BEC" w:rsidRPr="00112775" w:rsidRDefault="004F6BEC" w:rsidP="004F6BEC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11.12.2022</w:t>
      </w:r>
    </w:p>
    <w:p w14:paraId="11E9A627" w14:textId="77777777" w:rsidR="004F6BEC" w:rsidRPr="00112775" w:rsidRDefault="004F6BEC" w:rsidP="004F6BEC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BRG</w:t>
      </w:r>
    </w:p>
    <w:p w14:paraId="4B97DCCA" w14:textId="77777777" w:rsidR="004F6BEC" w:rsidRPr="00112775" w:rsidRDefault="004F6BEC" w:rsidP="004F6BEC">
      <w:pPr>
        <w:pStyle w:val="berschrift3"/>
        <w:rPr>
          <w:rFonts w:ascii="DB Neo Office" w:hAnsi="DB Neo Office"/>
          <w:color w:val="auto"/>
        </w:rPr>
      </w:pPr>
      <w:r w:rsidRPr="00112775">
        <w:rPr>
          <w:rFonts w:ascii="DB Neo Office" w:hAnsi="DB Neo Office"/>
          <w:color w:val="auto"/>
        </w:rPr>
        <w:t>5.1.1</w:t>
      </w:r>
      <w:r w:rsidRPr="00112775">
        <w:rPr>
          <w:rFonts w:ascii="DB Neo Office" w:hAnsi="DB Neo Office"/>
          <w:color w:val="auto"/>
        </w:rPr>
        <w:tab/>
        <w:t>Grundsatz</w:t>
      </w:r>
    </w:p>
    <w:p w14:paraId="7E659FD4" w14:textId="77777777" w:rsidR="004F6BEC" w:rsidRPr="00112775" w:rsidRDefault="004F6BEC" w:rsidP="004F6BEC">
      <w:pPr>
        <w:ind w:left="851"/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Die Meldungen des Berechtigten gemäß Abschnitt 4.2 entbinden den zuständigen Mitarbeiter gemäß Abschnitt 4.1 nicht davon, die Einträge im Arbeits- und Störungsbuch, Nachweis der vorübergehenden Änderungen und anderen betrieblichen Unterlagen zu beachten.</w:t>
      </w:r>
    </w:p>
    <w:sectPr w:rsidR="004F6BEC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BE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0B1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