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A569B" w14:textId="77777777" w:rsidR="004351CA" w:rsidRPr="00112775" w:rsidRDefault="004351CA" w:rsidP="004351CA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15.12.2019</w:t>
      </w:r>
    </w:p>
    <w:p w14:paraId="2F896974" w14:textId="77777777" w:rsidR="004351CA" w:rsidRPr="00112775" w:rsidRDefault="004351CA" w:rsidP="004351CA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FlankenschutzRangierverbot</w:t>
      </w:r>
    </w:p>
    <w:p w14:paraId="459F4542" w14:textId="77777777" w:rsidR="004351CA" w:rsidRPr="00112775" w:rsidRDefault="004351CA" w:rsidP="004351CA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fldChar w:fldCharType="begin"/>
      </w:r>
      <w:r w:rsidRPr="00112775">
        <w:rPr>
          <w:rFonts w:ascii="DB Neo Office" w:hAnsi="DB Neo Office"/>
        </w:rPr>
        <w:instrText xml:space="preserve">  </w:instrText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>5.1.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Flankenschutzmaßnahmen</w:t>
      </w:r>
    </w:p>
    <w:p w14:paraId="0A30BEB6" w14:textId="77777777" w:rsidR="004351CA" w:rsidRPr="00112775" w:rsidRDefault="004351CA" w:rsidP="004351CA">
      <w:pPr>
        <w:ind w:left="851" w:hanging="13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wenn Flankenschutzeinrichtungen vorübergehend nicht wirken (z.B. Signalabhängigkeit aufgehoben) und Maßnahmen gemäß Ril 408.5841 Abschnitt 66 nicht erforderlich oder nicht möglich sind</w:t>
      </w:r>
    </w:p>
    <w:p w14:paraId="24A34D7B" w14:textId="77777777" w:rsidR="004351CA" w:rsidRPr="00112775" w:rsidRDefault="004351CA" w:rsidP="004351CA">
      <w:pPr>
        <w:ind w:left="851" w:hanging="13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Während einer Zugfahrt auf Signal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nach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/ in Richtung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 das Rangieren im Gleis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11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verboten.</w:t>
      </w:r>
    </w:p>
    <w:sectPr w:rsidR="004351CA" w:rsidRPr="00112775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r w:rsidR="00B2066B">
      <w:rPr>
        <w:rFonts w:ascii="DB Office" w:hAnsi="DB Office"/>
        <w:snapToGrid w:val="0"/>
        <w:sz w:val="22"/>
        <w:szCs w:val="22"/>
      </w:rPr>
      <w:t>Betra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1CA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546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