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3C37" w14:textId="77777777" w:rsidR="00F614C1" w:rsidRPr="00112775" w:rsidRDefault="00F614C1" w:rsidP="00F614C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735BED7C" w14:textId="77777777" w:rsidR="00F614C1" w:rsidRPr="00112775" w:rsidRDefault="00F614C1" w:rsidP="00F614C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BÜP</w:t>
      </w:r>
    </w:p>
    <w:p w14:paraId="28B29048" w14:textId="77777777" w:rsidR="00F614C1" w:rsidRPr="00112775" w:rsidRDefault="00F614C1" w:rsidP="00F614C1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Bahnübergangsposten</w:t>
      </w:r>
    </w:p>
    <w:p w14:paraId="288208BB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Außerbetriebsetzung der Sicherungsanlage ist der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 einen Bahnübergangsposten (BÜP) /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(Anzahl HP)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Hilfsposten (HP) zu sichern.</w:t>
      </w:r>
    </w:p>
    <w:p w14:paraId="1F95BBA3" w14:textId="77777777" w:rsidR="00F614C1" w:rsidRDefault="00F614C1" w:rsidP="00F614C1">
      <w:pPr>
        <w:pStyle w:val="Textkrper2"/>
        <w:ind w:left="851"/>
        <w:rPr>
          <w:rFonts w:ascii="DB Neo Office" w:hAnsi="DB Neo Office"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Alternative Aufzählung in Tabellenform möglich. </w:t>
      </w:r>
    </w:p>
    <w:p w14:paraId="4E4C1D8D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5916930C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Nachfolgend aufgeführte BÜ-Sicherungsanlagen werden gemäß der Tabellenübersicht durch Bahnübergangsposten (BÜP) / und Hilfsposten (HP) gesichert</w:t>
      </w:r>
    </w:p>
    <w:p w14:paraId="5214119E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Style w:val="Tabellenraster"/>
        <w:tblW w:w="0" w:type="auto"/>
        <w:tblInd w:w="851" w:type="dxa"/>
        <w:tblLook w:val="04A0" w:firstRow="1" w:lastRow="0" w:firstColumn="1" w:lastColumn="0" w:noHBand="0" w:noVBand="1"/>
      </w:tblPr>
      <w:tblGrid>
        <w:gridCol w:w="1585"/>
        <w:gridCol w:w="1431"/>
        <w:gridCol w:w="1441"/>
        <w:gridCol w:w="1208"/>
        <w:gridCol w:w="1134"/>
        <w:gridCol w:w="1978"/>
      </w:tblGrid>
      <w:tr w:rsidR="00F614C1" w:rsidRPr="00112775" w14:paraId="56C4DA0D" w14:textId="77777777" w:rsidTr="002D0220">
        <w:tc>
          <w:tcPr>
            <w:tcW w:w="1585" w:type="dxa"/>
          </w:tcPr>
          <w:p w14:paraId="66F4C791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Bezeichnung</w:t>
            </w:r>
          </w:p>
        </w:tc>
        <w:tc>
          <w:tcPr>
            <w:tcW w:w="1431" w:type="dxa"/>
          </w:tcPr>
          <w:p w14:paraId="5798F877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in km</w:t>
            </w:r>
          </w:p>
        </w:tc>
        <w:tc>
          <w:tcPr>
            <w:tcW w:w="1441" w:type="dxa"/>
          </w:tcPr>
          <w:p w14:paraId="2280D190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 xml:space="preserve">von </w:t>
            </w:r>
            <w:r w:rsidRPr="00112775">
              <w:rPr>
                <w:rFonts w:ascii="DB Neo Office" w:hAnsi="DB Neo Office"/>
                <w:vanish/>
                <w:color w:val="FF00FF"/>
                <w:sz w:val="22"/>
                <w:szCs w:val="22"/>
              </w:rPr>
              <w:t>(Datum, Uhrzeit)</w:t>
            </w:r>
          </w:p>
        </w:tc>
        <w:tc>
          <w:tcPr>
            <w:tcW w:w="1208" w:type="dxa"/>
          </w:tcPr>
          <w:p w14:paraId="42F43D1B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 xml:space="preserve">bis </w:t>
            </w:r>
            <w:r w:rsidRPr="00112775">
              <w:rPr>
                <w:rFonts w:ascii="DB Neo Office" w:hAnsi="DB Neo Office"/>
                <w:vanish/>
                <w:color w:val="FF00FF"/>
                <w:sz w:val="22"/>
                <w:szCs w:val="22"/>
              </w:rPr>
              <w:t>(Datum, Uhrzeit)</w:t>
            </w:r>
          </w:p>
        </w:tc>
        <w:tc>
          <w:tcPr>
            <w:tcW w:w="1134" w:type="dxa"/>
          </w:tcPr>
          <w:p w14:paraId="2ED90CB3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BÜP</w:t>
            </w:r>
          </w:p>
        </w:tc>
        <w:tc>
          <w:tcPr>
            <w:tcW w:w="1978" w:type="dxa"/>
          </w:tcPr>
          <w:p w14:paraId="57C90B56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 xml:space="preserve">HP </w:t>
            </w:r>
            <w:r w:rsidRPr="00112775">
              <w:rPr>
                <w:rFonts w:ascii="DB Neo Office" w:hAnsi="DB Neo Office"/>
                <w:vanish/>
                <w:color w:val="FF00FF"/>
                <w:sz w:val="22"/>
                <w:szCs w:val="22"/>
              </w:rPr>
              <w:t>(Anzahl)</w:t>
            </w:r>
          </w:p>
        </w:tc>
      </w:tr>
      <w:tr w:rsidR="00F614C1" w:rsidRPr="00112775" w14:paraId="5E22072F" w14:textId="77777777" w:rsidTr="002D0220">
        <w:tc>
          <w:tcPr>
            <w:tcW w:w="1585" w:type="dxa"/>
          </w:tcPr>
          <w:p w14:paraId="58EE0F92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431" w:type="dxa"/>
          </w:tcPr>
          <w:p w14:paraId="3FD82EA1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441" w:type="dxa"/>
          </w:tcPr>
          <w:p w14:paraId="6381A11D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208" w:type="dxa"/>
          </w:tcPr>
          <w:p w14:paraId="7F0ED270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6AC0B05" w14:textId="77777777" w:rsidR="00F614C1" w:rsidRPr="00112775" w:rsidRDefault="00F614C1" w:rsidP="002D0220">
            <w:pPr>
              <w:pStyle w:val="Textkrper2"/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978" w:type="dxa"/>
          </w:tcPr>
          <w:p w14:paraId="412FB43B" w14:textId="77777777" w:rsidR="00F614C1" w:rsidRPr="00112775" w:rsidRDefault="00F614C1" w:rsidP="002D0220">
            <w:pPr>
              <w:pStyle w:val="Textkrper2"/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F614C1" w:rsidRPr="00112775" w14:paraId="50C9889B" w14:textId="77777777" w:rsidTr="002D0220">
        <w:tc>
          <w:tcPr>
            <w:tcW w:w="1585" w:type="dxa"/>
          </w:tcPr>
          <w:p w14:paraId="5A7A886A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431" w:type="dxa"/>
          </w:tcPr>
          <w:p w14:paraId="29D02B64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441" w:type="dxa"/>
          </w:tcPr>
          <w:p w14:paraId="321D6FD9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208" w:type="dxa"/>
          </w:tcPr>
          <w:p w14:paraId="2E58AD7A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B03EC67" w14:textId="77777777" w:rsidR="00F614C1" w:rsidRPr="00112775" w:rsidRDefault="00F614C1" w:rsidP="002D0220">
            <w:pPr>
              <w:pStyle w:val="Textkrper2"/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978" w:type="dxa"/>
          </w:tcPr>
          <w:p w14:paraId="0090DF0C" w14:textId="77777777" w:rsidR="00F614C1" w:rsidRPr="00112775" w:rsidRDefault="00F614C1" w:rsidP="002D0220">
            <w:pPr>
              <w:pStyle w:val="Textkrper2"/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</w:tbl>
    <w:p w14:paraId="5E8A7375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007C29F2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(gemäß 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-Antrag)</w:t>
      </w:r>
    </w:p>
    <w:p w14:paraId="3661E59B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Zusätzlich kommt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 Nachwarnsystem</w:t>
      </w:r>
      <w:r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zum Einsatz.</w:t>
      </w:r>
    </w:p>
    <w:p w14:paraId="64B24A18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26D15768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(gemäß 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-Antrag, bzw. bei Auswahl „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Techn.Hilfmittel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-ja“)</w:t>
      </w:r>
    </w:p>
    <w:p w14:paraId="4812FEB5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Zur Unterstützung des BÜP kommt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eine mobile Sicherungsanlage unter Verzicht auf Hilfsposten zum Einsatz. Die Inbetriebnahme der mobilen Sicherungsanlage muss in Anwesenheit des Anlagenverantwortlichen LST oder einer von ihm beauftragten Fachkraft erfolgen.</w:t>
      </w:r>
    </w:p>
    <w:p w14:paraId="1BC23C00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0584821A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477FD877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Einweisung erfolgt durch den zuständigen Leiter Betriebsbezirk.</w:t>
      </w:r>
    </w:p>
    <w:sectPr w:rsidR="00F614C1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3FA5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1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