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38A5" w14:textId="77777777" w:rsidR="00546284" w:rsidRPr="00112775" w:rsidRDefault="00546284" w:rsidP="0054628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585F0C4C" w14:textId="77777777" w:rsidR="00546284" w:rsidRPr="00112775" w:rsidRDefault="00546284" w:rsidP="0054628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Softwarewechsel ESTW</w:t>
      </w:r>
    </w:p>
    <w:p w14:paraId="5167B146" w14:textId="77777777" w:rsidR="00546284" w:rsidRPr="00112775" w:rsidRDefault="00546284" w:rsidP="00546284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ESTW-Softwarewechsel</w:t>
      </w:r>
    </w:p>
    <w:p w14:paraId="73BA7865" w14:textId="77777777" w:rsidR="00546284" w:rsidRPr="00112775" w:rsidRDefault="00546284" w:rsidP="00546284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(Angaben gemäß Betra-Antrag)</w:t>
      </w:r>
    </w:p>
    <w:p w14:paraId="53A9B353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0516214" w14:textId="77777777" w:rsidR="00546284" w:rsidRPr="00112775" w:rsidRDefault="00546284" w:rsidP="00546284">
      <w:pPr>
        <w:ind w:firstLine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3D2C5476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Erfassung belegter Gleise</w:t>
      </w:r>
    </w:p>
    <w:p w14:paraId="68B0F95F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Beginn des Softwarewechsels muss der zuständige Fdl besetzte Gleise mit der dazugehörigen Zugnummer im Fernsprechbuch erfassen</w:t>
      </w:r>
    </w:p>
    <w:p w14:paraId="685BAEC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204D7033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Beginn des Softwarewechsels sind besetzte Gleise durch eine Hardcopy aller Lupenbilder zu erfassen</w:t>
      </w:r>
    </w:p>
    <w:p w14:paraId="55D60ED2" w14:textId="77777777" w:rsidR="00546284" w:rsidRPr="00112775" w:rsidRDefault="00546284" w:rsidP="00546284">
      <w:pPr>
        <w:ind w:firstLine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10037445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Beginn des Softwarewechsels sind Gleisbelegungen in einer „Gleisbesetztmeldetabelle“ zu erfassen</w:t>
      </w:r>
    </w:p>
    <w:p w14:paraId="6F9036B5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A8FAE13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515CD2B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Fahrten ausschließen</w:t>
      </w:r>
    </w:p>
    <w:p w14:paraId="706CC249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der Zustimmung des zuständigen Fdl zur Durchführung des Softwarewechsels hat dieser zu überprüfen und sicherzustellen, dass im gesamten Stellbereich und auf den zuführenden Gleisen keine Zug- oder Rangierfahrten zugelassen sind (Gleise dürfen besetzt sein).</w:t>
      </w:r>
    </w:p>
    <w:p w14:paraId="1766584B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4C55ECC4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Erst nach erfolgreichem Softwarewechsel und Zustimmung des Technischen Berechtigten, dürfen wieder Fahrzeugbewegungen stattfinden.</w:t>
      </w:r>
    </w:p>
    <w:p w14:paraId="17690BE6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3FA3139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  <w:u w:val="single"/>
        </w:rPr>
      </w:pPr>
      <w:r w:rsidRPr="00112775">
        <w:rPr>
          <w:rFonts w:ascii="DB Neo Office" w:hAnsi="DB Neo Office"/>
          <w:color w:val="FF00FF"/>
          <w:sz w:val="22"/>
          <w:szCs w:val="22"/>
          <w:u w:val="single"/>
        </w:rPr>
        <w:t>Abgleich der Gleisbelegung nach dem Softwarewechsel</w:t>
      </w:r>
    </w:p>
    <w:p w14:paraId="203F3A2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Nach Inbetriebnahme der Rechneranlagen sind als besetzt angezeigte Gleise mit der vor Beginn der Arbeiten erfassten Gleisbelegung abzugleichen.</w:t>
      </w:r>
    </w:p>
    <w:p w14:paraId="34A72AA9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Merkhinweise und Sperren sind einzugeben.</w:t>
      </w:r>
    </w:p>
    <w:p w14:paraId="0C1C613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37CA9AA7" w14:textId="77777777" w:rsidR="00546284" w:rsidRPr="00112775" w:rsidRDefault="00546284" w:rsidP="00546284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 (Angaben im Betra-Antrag erforderlich!)</w:t>
      </w:r>
    </w:p>
    <w:p w14:paraId="729BD56D" w14:textId="77777777" w:rsidR="00546284" w:rsidRPr="00112775" w:rsidRDefault="00546284" w:rsidP="00546284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Besondere Auflagen / Bedingungen:</w:t>
      </w:r>
    </w:p>
    <w:p w14:paraId="5F57B1DA" w14:textId="77777777" w:rsidR="00546284" w:rsidRPr="00112775" w:rsidRDefault="00546284" w:rsidP="0054628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546284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284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667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