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B9D8" w14:textId="77777777" w:rsidR="005A0178" w:rsidRPr="00112775" w:rsidRDefault="005A0178" w:rsidP="005A0178">
      <w:pPr>
        <w:tabs>
          <w:tab w:val="right" w:pos="9923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099B8F15" w14:textId="77777777" w:rsidR="005A0178" w:rsidRPr="00112775" w:rsidRDefault="005A0178" w:rsidP="005A0178">
      <w:pPr>
        <w:pStyle w:val="berschrift2"/>
        <w:rPr>
          <w:rFonts w:ascii="DB Neo Office" w:hAnsi="DB Neo Office"/>
          <w:color w:val="auto"/>
        </w:rPr>
      </w:pPr>
      <w:r w:rsidRPr="00112775">
        <w:rPr>
          <w:rFonts w:ascii="DB Neo Office" w:hAnsi="DB Neo Office"/>
          <w:color w:val="auto"/>
        </w:rPr>
        <w:t>5.2</w:t>
      </w:r>
      <w:r w:rsidRPr="00112775">
        <w:rPr>
          <w:rFonts w:ascii="DB Neo Office" w:hAnsi="DB Neo Office"/>
          <w:color w:val="auto"/>
        </w:rPr>
        <w:tab/>
        <w:t>Regelungen für die Durchführung des Bahnbetriebes</w:t>
      </w:r>
    </w:p>
    <w:sectPr w:rsidR="005A0178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178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A55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5E9B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