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ADAFC" w14:textId="77777777" w:rsidR="007A668D" w:rsidRPr="00112775" w:rsidRDefault="007A668D" w:rsidP="007A668D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10.12.2023</w:t>
      </w:r>
    </w:p>
    <w:p w14:paraId="432FE1D2" w14:textId="77777777" w:rsidR="007A668D" w:rsidRPr="00112775" w:rsidRDefault="007A668D" w:rsidP="007A668D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Zugbeobachter</w:t>
      </w:r>
    </w:p>
    <w:p w14:paraId="1EF6FAD3" w14:textId="77777777" w:rsidR="007A668D" w:rsidRPr="00112775" w:rsidRDefault="007A668D" w:rsidP="007A668D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Einsatz von Zugbeobachtern</w:t>
      </w:r>
    </w:p>
    <w:p w14:paraId="040139B6" w14:textId="77777777" w:rsidR="007A668D" w:rsidRPr="00112775" w:rsidRDefault="007A668D" w:rsidP="007A668D">
      <w:pPr>
        <w:ind w:left="851" w:right="-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(wenn eine HOA/FBOA bei geplanten Bauarbeiten nicht zur Verfügung steht)</w:t>
      </w:r>
    </w:p>
    <w:p w14:paraId="7B3C684B" w14:textId="77777777" w:rsidR="007A668D" w:rsidRPr="00112775" w:rsidRDefault="007A668D" w:rsidP="007A668D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Dauer des Ausbaus / der Außerbetriebsetzung der HOA/FBOA gemäß Abschnitt 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5779F2A4" w14:textId="77777777" w:rsidR="007A668D" w:rsidRPr="00112775" w:rsidRDefault="007A668D" w:rsidP="007A668D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7C5E5EE8" w14:textId="77777777" w:rsidR="007A668D" w:rsidRPr="00112775" w:rsidRDefault="007A668D" w:rsidP="007A668D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werden Zugbeobachter gemäß Ril 484.0030 eingesetzt.</w:t>
      </w:r>
    </w:p>
    <w:p w14:paraId="4B6BE89C" w14:textId="77777777" w:rsidR="007A668D" w:rsidRPr="00112775" w:rsidRDefault="007A668D" w:rsidP="007A668D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05C78C1B" w14:textId="77777777" w:rsidR="007A668D" w:rsidRPr="00112775" w:rsidRDefault="007A668D" w:rsidP="007A668D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Standort/e: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3569CB5" w14:textId="77777777" w:rsidR="007A668D" w:rsidRPr="00112775" w:rsidRDefault="007A668D" w:rsidP="007A668D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3CC6AEBC" w14:textId="77777777" w:rsidR="007A668D" w:rsidRPr="00112775" w:rsidRDefault="007A668D" w:rsidP="007A668D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Örtliche Zusätze zur Ril 484 beachten.</w:t>
      </w:r>
    </w:p>
    <w:p w14:paraId="2D2A3A1D" w14:textId="77777777" w:rsidR="007A668D" w:rsidRPr="00112775" w:rsidRDefault="007A668D" w:rsidP="007A668D">
      <w:pPr>
        <w:pStyle w:val="Textkrper-Einzug3"/>
        <w:tabs>
          <w:tab w:val="left" w:pos="851"/>
          <w:tab w:val="left" w:pos="3544"/>
        </w:tabs>
        <w:rPr>
          <w:rFonts w:ascii="DB Neo Office" w:hAnsi="DB Neo Office"/>
          <w:color w:val="FF00FF"/>
          <w:sz w:val="22"/>
          <w:szCs w:val="22"/>
        </w:rPr>
      </w:pPr>
    </w:p>
    <w:p w14:paraId="6A2CB5ED" w14:textId="2AAC60FB" w:rsidR="00650FF8" w:rsidRPr="007A668D" w:rsidRDefault="007A668D" w:rsidP="007A668D">
      <w:pPr>
        <w:pStyle w:val="Textkrper-Einzug3"/>
        <w:tabs>
          <w:tab w:val="left" w:pos="851"/>
          <w:tab w:val="left" w:pos="3544"/>
        </w:tabs>
      </w:pPr>
      <w:r w:rsidRPr="00112775">
        <w:rPr>
          <w:rFonts w:ascii="DB Neo Office" w:hAnsi="DB Neo Office"/>
          <w:color w:val="FF00FF"/>
          <w:sz w:val="22"/>
          <w:szCs w:val="22"/>
        </w:rPr>
        <w:t>Örtliche Einweisung durch den zuständigen Leiter Betriebsbezirk.</w:t>
      </w:r>
    </w:p>
    <w:sectPr w:rsidR="00650FF8" w:rsidRPr="007A668D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E90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68D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