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2CAE" w14:textId="77777777" w:rsidR="005F4C2E" w:rsidRPr="00112775" w:rsidRDefault="005F4C2E" w:rsidP="005F4C2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5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.12.202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</w:p>
    <w:p w14:paraId="2370096C" w14:textId="77777777" w:rsidR="005F4C2E" w:rsidRPr="00112775" w:rsidRDefault="005F4C2E" w:rsidP="005F4C2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Rückmeldeposten</w:t>
      </w:r>
    </w:p>
    <w:p w14:paraId="1C26319A" w14:textId="77777777" w:rsidR="005F4C2E" w:rsidRPr="00112775" w:rsidRDefault="005F4C2E" w:rsidP="005F4C2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Einsatz von </w:t>
      </w:r>
      <w:r>
        <w:rPr>
          <w:rFonts w:ascii="DB Neo Office" w:hAnsi="DB Neo Office"/>
        </w:rPr>
        <w:t>Rückmeldeposten</w:t>
      </w:r>
    </w:p>
    <w:p w14:paraId="2633B257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84D8CEC" w14:textId="77777777" w:rsidR="005F4C2E" w:rsidRPr="00112775" w:rsidRDefault="005F4C2E" w:rsidP="005F4C2E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42240F61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werden zur Beschleunigung des Betriebsablaufes Helfer im Bahnbetrieb als Rückmeldeposten eingesetzt.</w:t>
      </w:r>
    </w:p>
    <w:p w14:paraId="7C6EC750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0E1486A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DA3EA32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45C31EB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Angaben im Streckenbuch EIU zu Ril 408.0244 - 0248 Abschnitt 5 (7) beachten.</w:t>
      </w:r>
    </w:p>
    <w:p w14:paraId="4FF3CF39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761A927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Rückmeldeposten am/vom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gemäß Ril 408.0244 - 0248 Abschnitt 5 (7).</w:t>
      </w:r>
    </w:p>
    <w:p w14:paraId="58A32923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66E1A1B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Signalzugschlussstelle: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8EC30FC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8200FB6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Art der Verständigung: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1077CA0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744F937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Räumungsprüfung durch Rückmeldeposten darf erst eingeführt werden, wenn die Räumungsprüfung bei dem Zug durchgeführt worden ist, der den betroffenen Zugfolgeabschnitt vor der Besetzung der selbsttätigen Blockstelle zuletzt befahren hat.</w:t>
      </w:r>
    </w:p>
    <w:p w14:paraId="3C198CD2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B3C25F6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Räumungsprüfung durch Rückmeldeposten muss eingeführt sein, bevor die folgende Zugfahrt zugelassen wird.</w:t>
      </w:r>
    </w:p>
    <w:p w14:paraId="0D8927C3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1C70BB3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Rückmeldeposten ist über Zugfahrten zu verständigen.</w:t>
      </w:r>
    </w:p>
    <w:p w14:paraId="2C18C425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Er hat sich mit der Bezeichnung des selbsttätigen Blocksignals, an dem er eingesetzt ist, zu melden.</w:t>
      </w:r>
    </w:p>
    <w:p w14:paraId="4D298B6B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DD668C1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Nur wenn Befahren des Gegengleises im Gleiswechselbetrieb ständig eingerichtet ist:</w:t>
      </w:r>
    </w:p>
    <w:p w14:paraId="357D88A2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Zulassung einer Fahrt auf dem Gegengleis muss der Rückmeldeposten zurückgezogen werden.</w:t>
      </w:r>
    </w:p>
    <w:p w14:paraId="2BEF847F" w14:textId="77777777" w:rsidR="005F4C2E" w:rsidRPr="00112775" w:rsidRDefault="005F4C2E" w:rsidP="005F4C2E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</w:p>
    <w:p w14:paraId="1EBAC738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4AC485DC" w:rsidR="00650FF8" w:rsidRPr="005F4C2E" w:rsidRDefault="005F4C2E" w:rsidP="005F4C2E">
      <w:pPr>
        <w:pStyle w:val="Textkrper-Einzug3"/>
        <w:tabs>
          <w:tab w:val="left" w:pos="851"/>
          <w:tab w:val="left" w:pos="3544"/>
        </w:tabs>
      </w:pPr>
      <w:r w:rsidRPr="00112775">
        <w:rPr>
          <w:rFonts w:ascii="DB Neo Office" w:hAnsi="DB Neo Office"/>
          <w:color w:val="FF00FF"/>
          <w:sz w:val="22"/>
          <w:szCs w:val="22"/>
        </w:rPr>
        <w:t>Die örtliche Einweisung erfolgt durch den zuständigen Leiter Betriebsbezirk.</w:t>
      </w:r>
    </w:p>
    <w:sectPr w:rsidR="00650FF8" w:rsidRPr="005F4C2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1DB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2E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1311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