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FB4CF" w14:textId="77777777" w:rsidR="001A22CE" w:rsidRPr="00112775" w:rsidRDefault="001A22CE" w:rsidP="001A22C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41F8504D" w14:textId="77777777" w:rsidR="001A22CE" w:rsidRPr="00112775" w:rsidRDefault="001A22CE" w:rsidP="001A22C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AufhebenSperrung</w:t>
      </w:r>
      <w:proofErr w:type="spellEnd"/>
    </w:p>
    <w:p w14:paraId="6E2D7169" w14:textId="77777777" w:rsidR="001A22CE" w:rsidRPr="00112775" w:rsidRDefault="001A22CE" w:rsidP="001A22CE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Aufheben der Sperrungen</w:t>
      </w:r>
    </w:p>
    <w:p w14:paraId="1567CED6" w14:textId="77777777" w:rsidR="001A22CE" w:rsidRDefault="001A22CE" w:rsidP="001A22C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zuständige Mitarbeiter gemäß Abschnitt 4.1 hebt nach Eingang der Meldung über das Freisein und die Befahrbarkeit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(nur wenn das Gleis zum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erklärt 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wurde)</w:t>
      </w:r>
      <w:r w:rsidRPr="00112775">
        <w:rPr>
          <w:rFonts w:ascii="DB Neo Office" w:hAnsi="DB Neo Office"/>
          <w:color w:val="FF00FF"/>
          <w:sz w:val="22"/>
          <w:szCs w:val="22"/>
        </w:rPr>
        <w:t>/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 xml:space="preserve"> die Befahrbarkeit der Gleise durch den Technischen Berechtigten die Sperrung der Gleise auf.</w:t>
      </w:r>
    </w:p>
    <w:sectPr w:rsidR="001A22CE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2CE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75A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