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F035" w14:textId="77777777" w:rsidR="00534169" w:rsidRPr="00112775" w:rsidRDefault="00534169" w:rsidP="00534169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Grundsätze</w:t>
      </w:r>
    </w:p>
    <w:p w14:paraId="7094EE65" w14:textId="77777777" w:rsidR="00534169" w:rsidRPr="00112775" w:rsidRDefault="00534169" w:rsidP="00534169">
      <w:pPr>
        <w:pStyle w:val="Textkrper-Zeileneinzug"/>
        <w:rPr>
          <w:rFonts w:ascii="DB Neo Office" w:hAnsi="DB Neo Office"/>
          <w:vanish/>
          <w:sz w:val="22"/>
          <w:szCs w:val="22"/>
        </w:rPr>
      </w:pPr>
      <w:r w:rsidRPr="00112775">
        <w:rPr>
          <w:rFonts w:ascii="DB Neo Office" w:hAnsi="DB Neo Office"/>
          <w:vanish/>
          <w:sz w:val="22"/>
          <w:szCs w:val="22"/>
        </w:rPr>
        <w:t xml:space="preserve">zur Vermeidung des ungeplanten Einsatzes außerhalb der </w:t>
      </w:r>
      <w:proofErr w:type="spellStart"/>
      <w:r w:rsidRPr="00112775">
        <w:rPr>
          <w:rFonts w:ascii="DB Neo Office" w:hAnsi="DB Neo Office"/>
          <w:vanish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sz w:val="22"/>
          <w:szCs w:val="22"/>
        </w:rPr>
        <w:t xml:space="preserve">-Regelungen, sofern im </w:t>
      </w:r>
      <w:proofErr w:type="spellStart"/>
      <w:r w:rsidRPr="00112775">
        <w:rPr>
          <w:rFonts w:ascii="DB Neo Office" w:hAnsi="DB Neo Office"/>
          <w:vanish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sz w:val="22"/>
          <w:szCs w:val="22"/>
        </w:rPr>
        <w:t xml:space="preserve">-Antrag der Einsatz von Fahrzeugen und Geräten gemäß </w:t>
      </w:r>
      <w:proofErr w:type="spellStart"/>
      <w:r w:rsidRPr="00112775">
        <w:rPr>
          <w:rFonts w:ascii="DB Neo Office" w:hAnsi="DB Neo Office"/>
          <w:vanish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sz w:val="22"/>
          <w:szCs w:val="22"/>
        </w:rPr>
        <w:t xml:space="preserve"> 931.0003 </w:t>
      </w:r>
      <w:r w:rsidRPr="00112775">
        <w:rPr>
          <w:rFonts w:ascii="DB Neo Office" w:hAnsi="DB Neo Office"/>
          <w:b/>
          <w:vanish/>
          <w:sz w:val="22"/>
          <w:szCs w:val="22"/>
        </w:rPr>
        <w:t xml:space="preserve">nicht </w:t>
      </w:r>
      <w:r w:rsidRPr="00112775">
        <w:rPr>
          <w:rFonts w:ascii="DB Neo Office" w:hAnsi="DB Neo Office"/>
          <w:vanish/>
          <w:sz w:val="22"/>
          <w:szCs w:val="22"/>
        </w:rPr>
        <w:t xml:space="preserve">angegeben wurde. </w:t>
      </w:r>
    </w:p>
    <w:p w14:paraId="1C8A936D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Schienenfahrzeuge und schienengebundene Geräte dürfen im Rahmen dieser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nicht eingesetzt werden. </w:t>
      </w:r>
    </w:p>
    <w:p w14:paraId="0B468475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gesperrten Gleis gemäß Abschnitt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dürfen keine Schienenfahrzeuge und schienengebundenen Geräte eingesetzt werden.</w:t>
      </w:r>
    </w:p>
    <w:p w14:paraId="2B543766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8DE150D" w14:textId="77777777" w:rsidR="00534169" w:rsidRPr="00112775" w:rsidRDefault="00534169" w:rsidP="0053416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(bei ausschließlicher Anwahl „Einsatz von Handgeräten“ im Abschnitt 5.4 des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-Antrags)</w:t>
      </w:r>
    </w:p>
    <w:p w14:paraId="5ADA7B1F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Einsatz von schienenfahrbaren Handgeräten unterliegt den Vorgaben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132.0118A06.</w:t>
      </w:r>
    </w:p>
    <w:p w14:paraId="0AB24794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470C125" w14:textId="77777777" w:rsidR="00534169" w:rsidRPr="00112775" w:rsidRDefault="00534169" w:rsidP="0053416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4AE941E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ausführende Unternehmen muss die Projektleitung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Invest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-Maßnahme, bzw. die auftraggebende Stelle der IH-Maßnahme über die für den Einsatz von Schienenfahrzeugen und schienengebundenen Geräten verantwortlichen EVU und Halter von Eisenbahnfahrzeugen nach § 31 AEG vor Einsatz auf der Baustelle informieren. Das Verzeichnis der am Bahnbetrieb teilnehmenden Unternehmen wird in der Bauakte hinterlegt und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-Antrag hinzugefügt. Die Bauüberwachung oder die auftraggebende Stelle der IH-Maßnahme übermittelt Änderungen an der Liste für Einweisungszwecke direkt an den zuständigen Leiter Betriebsbezirk.</w:t>
      </w:r>
    </w:p>
    <w:p w14:paraId="5874F71F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1A395142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Ergänzend zu den Vorgaben zur Strecken- und Ortskenntnis müssen die verantwortlichen Eisenbahnverkehrsunternehmen sicherstellen, dass die eingesetzten Betriebspersonale beim Einsatz von Fahrzeugen und schienengebundenen Geräten die örtlichen und betrieblichen Besonderheiten kennen. Zu Überwachungszwecken sind entsprechende Einweisungsdokumente mitzuführen.</w:t>
      </w:r>
    </w:p>
    <w:p w14:paraId="23EF0128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2ADD94C3" w:rsidR="00650FF8" w:rsidRPr="00534169" w:rsidRDefault="00534169" w:rsidP="00534169">
      <w:pPr>
        <w:pStyle w:val="Textkrper"/>
        <w:spacing w:after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Die örtliche Einweisung der beauftragten Personen der gemeldeten EVU erfolgt, nach deren Anforderung durch das EVU, durch den zuständigen Leiter Betriebsbezirk.</w:t>
      </w:r>
    </w:p>
    <w:sectPr w:rsidR="00650FF8" w:rsidRPr="00534169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148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16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