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DC0A" w14:textId="77777777" w:rsidR="00AA2C51" w:rsidRPr="00112775" w:rsidRDefault="00AA2C51" w:rsidP="00AA2C51">
      <w:pPr>
        <w:tabs>
          <w:tab w:val="right" w:pos="9923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630CF2ED" w14:textId="77777777" w:rsidR="00AA2C51" w:rsidRPr="00112775" w:rsidRDefault="00AA2C51" w:rsidP="00AA2C51">
      <w:pPr>
        <w:pStyle w:val="berschrift1"/>
        <w:rPr>
          <w:rFonts w:ascii="DB Neo Office" w:hAnsi="DB Neo Office"/>
        </w:rPr>
      </w:pPr>
      <w:r w:rsidRPr="00112775">
        <w:rPr>
          <w:rFonts w:ascii="DB Neo Office" w:hAnsi="DB Neo Office"/>
        </w:rPr>
        <w:t>5</w:t>
      </w:r>
      <w:r w:rsidRPr="00112775">
        <w:rPr>
          <w:rFonts w:ascii="DB Neo Office" w:hAnsi="DB Neo Office"/>
        </w:rPr>
        <w:tab/>
        <w:t>Betriebliche Regelungen</w:t>
      </w:r>
    </w:p>
    <w:sectPr w:rsidR="00AA2C51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49E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C51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