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1529A1" w14:textId="77777777" w:rsidR="00B8790D" w:rsidRPr="00112775" w:rsidRDefault="00B8790D" w:rsidP="00B8790D">
      <w:pPr>
        <w:pStyle w:val="Kopfzeile"/>
        <w:rPr>
          <w:rFonts w:ascii="DB Neo Office" w:hAnsi="DB Neo Office"/>
          <w:i/>
          <w:vanish/>
          <w:color w:val="008000"/>
          <w:sz w:val="22"/>
          <w:szCs w:val="22"/>
        </w:rPr>
      </w:pPr>
      <w:bookmarkStart w:id="0" w:name="_Hlk528666940"/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15.12.2019</w:t>
      </w:r>
    </w:p>
    <w:p w14:paraId="73EABE22" w14:textId="77777777" w:rsidR="00B8790D" w:rsidRPr="00112775" w:rsidRDefault="00B8790D" w:rsidP="00B8790D">
      <w:pPr>
        <w:pStyle w:val="Kopfzeile"/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Baustellenüberfahrt</w:t>
      </w:r>
    </w:p>
    <w:p w14:paraId="0F8D047B" w14:textId="77777777" w:rsidR="00B8790D" w:rsidRPr="00112775" w:rsidRDefault="00B8790D" w:rsidP="00B8790D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5.1.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 xml:space="preserve">Einrichten einer Baustellenüberfahrt </w:t>
      </w:r>
      <w:bookmarkStart w:id="1" w:name="_Hlk533749486"/>
      <w:r w:rsidRPr="00112775">
        <w:rPr>
          <w:rFonts w:ascii="DB Neo Office" w:hAnsi="DB Neo Office"/>
        </w:rPr>
        <w:t>/ Bauschrankenanlage</w:t>
      </w:r>
    </w:p>
    <w:bookmarkEnd w:id="1"/>
    <w:p w14:paraId="2FF1AC57" w14:textId="77777777" w:rsidR="00B8790D" w:rsidRPr="00112775" w:rsidRDefault="00B8790D" w:rsidP="00B8790D">
      <w:pPr>
        <w:pStyle w:val="Kopfzeile"/>
        <w:ind w:left="851"/>
        <w:rPr>
          <w:rFonts w:ascii="DB Neo Office" w:hAnsi="DB Neo Office"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Übergänge, die nur dem innerdienstlichen Verkehr dienen, gelten nicht als Bahnübergänge (vgl. EBO § 11 und </w:t>
      </w:r>
      <w:proofErr w:type="spellStart"/>
      <w:r w:rsidRPr="00112775">
        <w:rPr>
          <w:rFonts w:ascii="DB Neo Office" w:hAnsi="DB Neo Office"/>
          <w:vanish/>
          <w:color w:val="0000FF"/>
          <w:sz w:val="22"/>
          <w:szCs w:val="22"/>
        </w:rPr>
        <w:t>Ril</w:t>
      </w:r>
      <w:proofErr w:type="spellEnd"/>
      <w:r w:rsidRPr="00112775">
        <w:rPr>
          <w:rFonts w:ascii="DB Neo Office" w:hAnsi="DB Neo Office"/>
          <w:vanish/>
          <w:color w:val="0000FF"/>
          <w:sz w:val="22"/>
          <w:szCs w:val="22"/>
        </w:rPr>
        <w:t xml:space="preserve"> 456.0020 Abschnitt 1 Absatz 4).</w:t>
      </w:r>
    </w:p>
    <w:p w14:paraId="2D6127B4" w14:textId="77777777" w:rsidR="00B8790D" w:rsidRPr="00112775" w:rsidRDefault="00B8790D" w:rsidP="00B8790D">
      <w:pPr>
        <w:ind w:left="85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Im Bahnhof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wird / im Gleis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wird / in km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eine Baustellenüberfahrt / Bauschrankenanlage errichtet.</w:t>
      </w:r>
    </w:p>
    <w:p w14:paraId="033CEE6C" w14:textId="77777777" w:rsidR="00B8790D" w:rsidRPr="00112775" w:rsidRDefault="00B8790D" w:rsidP="00B8790D">
      <w:pPr>
        <w:ind w:left="851"/>
        <w:rPr>
          <w:rFonts w:ascii="DB Neo Office" w:hAnsi="DB Neo Office"/>
          <w:color w:val="FF00FF"/>
          <w:sz w:val="22"/>
          <w:szCs w:val="22"/>
        </w:rPr>
      </w:pPr>
    </w:p>
    <w:p w14:paraId="53936A64" w14:textId="1F8C3E8A" w:rsidR="00B8790D" w:rsidRDefault="00B8790D" w:rsidP="00B8790D">
      <w:pPr>
        <w:tabs>
          <w:tab w:val="left" w:pos="2160"/>
        </w:tabs>
        <w:ind w:left="851"/>
        <w:rPr>
          <w:rFonts w:ascii="DB Neo Office" w:hAnsi="DB Neo Office"/>
          <w:color w:val="00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6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(Regelungen zur Sicherung gemäß örtlicher Festlegung)</w:t>
      </w:r>
    </w:p>
    <w:bookmarkEnd w:id="0"/>
    <w:sectPr w:rsidR="00B8790D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proofErr w:type="spellStart"/>
    <w:r w:rsidR="00B2066B">
      <w:rPr>
        <w:rFonts w:ascii="DB Office" w:hAnsi="DB Office"/>
        <w:snapToGrid w:val="0"/>
        <w:sz w:val="22"/>
        <w:szCs w:val="22"/>
      </w:rPr>
      <w:t>Betra</w:t>
    </w:r>
    <w:proofErr w:type="spellEnd"/>
    <w:r w:rsidR="00B2066B">
      <w:rPr>
        <w:rFonts w:ascii="DB Office" w:hAnsi="DB Office"/>
        <w:snapToGrid w:val="0"/>
        <w:sz w:val="22"/>
        <w:szCs w:val="22"/>
      </w:rPr>
      <w:t xml:space="preserve">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0D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4F38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