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7B4C4" w14:textId="77777777" w:rsidR="001601D6" w:rsidRPr="00112775" w:rsidRDefault="001601D6" w:rsidP="001601D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13.12.2015</w:t>
      </w:r>
    </w:p>
    <w:p w14:paraId="6CFE7ADF" w14:textId="77777777" w:rsidR="001601D6" w:rsidRPr="00112775" w:rsidRDefault="001601D6" w:rsidP="001601D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SperrETCS-Z</w:t>
      </w:r>
    </w:p>
    <w:p w14:paraId="79BCBBA3" w14:textId="77777777" w:rsidR="001601D6" w:rsidRPr="00112775" w:rsidRDefault="001601D6" w:rsidP="001601D6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Beginn der Arbeiten mit Sperrung der ETCS-Zentrale</w:t>
      </w:r>
    </w:p>
    <w:p w14:paraId="75FEC82B" w14:textId="77777777" w:rsidR="001601D6" w:rsidRPr="00112775" w:rsidRDefault="001601D6" w:rsidP="001601D6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Arbeiten dürfen erst begonnen werden, wenn die Sperrung der ETCS-Zentrale im Einvernehmen mit der BZ aktiviert wurde und alle ETCS-geführten Zugfahren den Bereich dieser ETCS-Zentrale geräumt haben bzw. halten bleiben.</w:t>
      </w:r>
    </w:p>
    <w:sectPr w:rsidR="001601D6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1D6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6EB8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