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257CF" w14:textId="77777777" w:rsidR="007551D5" w:rsidRPr="00112775" w:rsidRDefault="007551D5" w:rsidP="007551D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15.12.2019</w:t>
      </w:r>
    </w:p>
    <w:p w14:paraId="30DF49EF" w14:textId="77777777" w:rsidR="007551D5" w:rsidRPr="00112775" w:rsidRDefault="007551D5" w:rsidP="007551D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Luftbremskopf</w:t>
      </w:r>
    </w:p>
    <w:p w14:paraId="01243656" w14:textId="77777777" w:rsidR="007551D5" w:rsidRPr="00112775" w:rsidRDefault="007551D5" w:rsidP="007551D5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5.3.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Anwendung eines Luftbremskopfes bei geschobenen Sperrfahrten / Rangierfahrten</w:t>
      </w:r>
    </w:p>
    <w:p w14:paraId="2ABF4B9F" w14:textId="77777777" w:rsidR="007551D5" w:rsidRPr="00112775" w:rsidRDefault="007551D5" w:rsidP="007551D5">
      <w:pPr>
        <w:pStyle w:val="03Text16"/>
        <w:rPr>
          <w:rFonts w:ascii="DB Neo Office" w:hAnsi="DB Neo Office"/>
          <w:i w:val="0"/>
          <w:color w:val="FF00FF"/>
          <w:sz w:val="22"/>
          <w:szCs w:val="22"/>
        </w:rPr>
      </w:pPr>
      <w:r w:rsidRPr="00112775">
        <w:rPr>
          <w:rFonts w:ascii="DB Neo Office" w:hAnsi="DB Neo Office"/>
          <w:i w:val="0"/>
          <w:color w:val="FF00FF"/>
          <w:sz w:val="22"/>
          <w:szCs w:val="22"/>
        </w:rPr>
        <w:t>Geschobene Sperrfahrten / Rangierfahrten dürfen nur mit einem wirksamen Luftbremskopf durchgeführt werden.</w:t>
      </w:r>
    </w:p>
    <w:p w14:paraId="6A2CB5ED" w14:textId="25C406CA" w:rsidR="00650FF8" w:rsidRPr="007551D5" w:rsidRDefault="007551D5" w:rsidP="007551D5">
      <w:pPr>
        <w:ind w:left="850" w:hanging="11"/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(TBS ist zu verwenden, wenn der zu erwartende Sicherheitsgewinn in einem angemessenen Verhältnis zu dem erforderlichen Aufwand für die Anwendung des Luftbremskopfes steht. Der zu erwartende Sicherheitsgewinn ist besonders </w:t>
      </w:r>
      <w:proofErr w:type="gramStart"/>
      <w:r w:rsidRPr="00112775">
        <w:rPr>
          <w:rFonts w:ascii="DB Neo Office" w:hAnsi="DB Neo Office"/>
          <w:vanish/>
          <w:color w:val="0000FF"/>
          <w:sz w:val="22"/>
          <w:szCs w:val="22"/>
        </w:rPr>
        <w:t>hoch zu bewerten</w:t>
      </w:r>
      <w:proofErr w:type="gramEnd"/>
      <w:r w:rsidRPr="00112775">
        <w:rPr>
          <w:rFonts w:ascii="DB Neo Office" w:hAnsi="DB Neo Office"/>
          <w:vanish/>
          <w:color w:val="0000FF"/>
          <w:sz w:val="22"/>
          <w:szCs w:val="22"/>
        </w:rPr>
        <w:t>, wenn die Sperrfahrten eine große Last befördern, die Sperrfahrten gefährliche Güter befördern, mehrere Sperrfahrten in ein gesperrtes Gleis eingelassen werden oder auf Strecken mit Krümmungen die Sichtverhältnisse eingeschränkt sind.)</w:t>
      </w:r>
    </w:p>
    <w:sectPr w:rsidR="00650FF8" w:rsidRPr="007551D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A9A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1D5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