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1DA80" w14:textId="77777777" w:rsidR="001D2127" w:rsidRPr="00112775" w:rsidRDefault="001D2127" w:rsidP="001D2127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15.12.2019</w:t>
      </w:r>
    </w:p>
    <w:p w14:paraId="44881819" w14:textId="77777777" w:rsidR="001D2127" w:rsidRPr="00112775" w:rsidRDefault="001D2127" w:rsidP="001D2127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AusbauGleisschaltmittel</w:t>
      </w:r>
    </w:p>
    <w:p w14:paraId="34114861" w14:textId="77777777" w:rsidR="001D2127" w:rsidRPr="00112775" w:rsidRDefault="001D2127" w:rsidP="001D2127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Ausbau von Gleisschaltmitteln, Zugbeeinflussungsanlagen im gesperrten Gleis</w:t>
      </w:r>
    </w:p>
    <w:p w14:paraId="60E42AA2" w14:textId="77777777" w:rsidR="001D2127" w:rsidRPr="00112775" w:rsidRDefault="001D2127" w:rsidP="001D2127">
      <w:pPr>
        <w:ind w:left="862" w:hanging="11"/>
        <w:rPr>
          <w:rFonts w:ascii="DB Neo Office" w:hAnsi="DB Neo Office"/>
          <w:color w:val="FF00FF"/>
          <w:sz w:val="22"/>
          <w:szCs w:val="22"/>
        </w:rPr>
      </w:pPr>
      <w:r w:rsidRPr="00112775">
        <w:rPr>
          <w:rFonts w:ascii="DB Neo Office" w:hAnsi="DB Neo Office"/>
          <w:color w:val="FF00FF"/>
          <w:sz w:val="22"/>
          <w:szCs w:val="22"/>
        </w:rPr>
        <w:t>Gleisschaltmittel und/oder Zugbeeinflussungsanlagen sind - soweit erforderlich - für die Dauer der Gleissperrungen gemäß 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 xml:space="preserve"> aus- und wieder einzubauen.</w:t>
      </w:r>
    </w:p>
    <w:sectPr w:rsidR="001D2127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127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BA3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