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6B89B" w14:textId="77777777" w:rsidR="00551DCE" w:rsidRPr="00112775" w:rsidRDefault="00551DCE" w:rsidP="00551DCE">
      <w:pPr>
        <w:tabs>
          <w:tab w:val="right" w:pos="9923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p w14:paraId="6A2CB5ED" w14:textId="6C03C0FA" w:rsidR="00650FF8" w:rsidRPr="00551DCE" w:rsidRDefault="00551DCE" w:rsidP="00551DCE">
      <w:pPr>
        <w:pStyle w:val="berschrift2"/>
        <w:ind w:left="851" w:hanging="851"/>
      </w:pPr>
      <w:r w:rsidRPr="00112775">
        <w:rPr>
          <w:rFonts w:ascii="DB Neo Office" w:hAnsi="DB Neo Office"/>
          <w:color w:val="auto"/>
        </w:rPr>
        <w:t>5.4</w:t>
      </w:r>
      <w:r w:rsidRPr="00112775">
        <w:rPr>
          <w:rFonts w:ascii="DB Neo Office" w:hAnsi="DB Neo Office"/>
          <w:color w:val="auto"/>
        </w:rPr>
        <w:tab/>
        <w:t>Regelungen für den Einsatz von Schienenfahrzeugen, Maschinen und Geräten und deren besondere Einsatzbedingungen</w:t>
      </w:r>
    </w:p>
    <w:sectPr w:rsidR="00650FF8" w:rsidRPr="00551DCE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DCE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7D4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