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
    <w:p/>
    <w:p/>
    <w:p/>
    <w:p/>
    <w:p/>
    <w:p>
      <w:pPr>
        <w:pStyle w:val="Title"/>
        <w:spacing w:after="0"/>
      </w:pPr>
      <w:r>
        <w:rPr>
          <w:rFonts w:ascii="Helvetica Neue Light" w:hAnsi="Helvetica Neue Light" w:eastAsia="Helvetica Neue"/>
          <w:b w:val="0"/>
          <w:color w:val="5B7085"/>
          <w:sz w:val="72"/>
        </w:rPr>
        <w:t>Nablix Tutor Backend</w:t>
      </w:r>
    </w:p>
    <w:p>
      <w:pPr>
        <w:pStyle w:val="Title"/>
        <w:spacing w:after="320"/>
      </w:pPr>
      <w:r>
        <w:rPr>
          <w:rFonts w:ascii="Helvetica Neue" w:hAnsi="Helvetica Neue" w:eastAsia="Helvetica Neue"/>
          <w:b w:val="0"/>
          <w:color w:val="233447"/>
          <w:sz w:val="68"/>
        </w:rPr>
        <w:t>Phase 2 Guided Learning</w:t>
        <w:br/>
        <w:t>Backend System Design</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024"/>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STATUS</w:t>
            </w:r>
          </w:p>
        </w:tc>
        <w:tc>
          <w:tcPr>
            <w:tcW w:type="dxa" w:w="3888"/>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OWNER</w:t>
            </w:r>
          </w:p>
        </w:tc>
        <w:tc>
          <w:tcPr>
            <w:tcW w:type="dxa" w:w="2736"/>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LAST UPDATED</w:t>
            </w:r>
          </w:p>
        </w:tc>
      </w:tr>
      <w:tr>
        <w:trPr>
          <w:cantSplit/>
        </w:trPr>
        <w:tc>
          <w:tcPr>
            <w:tcW w:type="dxa" w:w="3024"/>
            <w:shd w:fill="FFFFFF"/>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Proposed</w:t>
            </w:r>
          </w:p>
        </w:tc>
        <w:tc>
          <w:tcPr>
            <w:tcW w:type="dxa" w:w="3888"/>
            <w:shd w:fill="FFFFFF"/>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Chirudeva — nablix-backend</w:t>
            </w:r>
          </w:p>
        </w:tc>
        <w:tc>
          <w:tcPr>
            <w:tcW w:type="dxa" w:w="2736"/>
            <w:shd w:fill="FFFFFF"/>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August 3, 2026</w:t>
            </w:r>
          </w:p>
        </w:tc>
      </w:tr>
    </w:tbl>
    <w:p>
      <w:pPr>
        <w:spacing w:after="0"/>
      </w:pP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304"/>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Document metadata</w:t>
            </w:r>
          </w:p>
        </w:tc>
        <w:tc>
          <w:tcPr>
            <w:tcW w:type="dxa" w:w="7344"/>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Value</w:t>
            </w:r>
          </w:p>
        </w:tc>
      </w:tr>
      <w:tr>
        <w:trPr>
          <w:cantSplit/>
        </w:trPr>
        <w:tc>
          <w:tcPr>
            <w:tcW w:type="dxa" w:w="230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Authors</w:t>
            </w:r>
          </w:p>
        </w:tc>
        <w:tc>
          <w:tcPr>
            <w:tcW w:type="dxa" w:w="734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Codex multi-agent review; implementation owner: Chirudeva</w:t>
            </w:r>
          </w:p>
        </w:tc>
      </w:tr>
      <w:tr>
        <w:trPr>
          <w:cantSplit/>
        </w:trPr>
        <w:tc>
          <w:tcPr>
            <w:tcW w:type="dxa" w:w="230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Reviewers</w:t>
            </w:r>
          </w:p>
        </w:tc>
        <w:tc>
          <w:tcPr>
            <w:tcW w:type="dxa" w:w="734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Backend, Tutor Engine, and Student Model contract owners</w:t>
            </w:r>
          </w:p>
        </w:tc>
      </w:tr>
      <w:tr>
        <w:trPr>
          <w:cantSplit/>
        </w:trPr>
        <w:tc>
          <w:tcPr>
            <w:tcW w:type="dxa" w:w="230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Related document</w:t>
            </w:r>
          </w:p>
        </w:tc>
        <w:tc>
          <w:tcPr>
            <w:tcW w:type="dxa" w:w="734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Topic 1 Phase 2 Guided Learning.docx — 19 pages reviewed</w:t>
            </w:r>
          </w:p>
        </w:tc>
      </w:tr>
      <w:tr>
        <w:trPr>
          <w:cantSplit/>
        </w:trPr>
        <w:tc>
          <w:tcPr>
            <w:tcW w:type="dxa" w:w="230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Scope</w:t>
            </w:r>
          </w:p>
        </w:tc>
        <w:tc>
          <w:tcPr>
            <w:tcW w:type="dxa" w:w="734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Canvas orchestration and module wiring inside nablix-backend only</w:t>
            </w:r>
          </w:p>
        </w:tc>
      </w:tr>
      <w:tr>
        <w:trPr>
          <w:cantSplit/>
        </w:trPr>
        <w:tc>
          <w:tcPr>
            <w:tcW w:type="dxa" w:w="230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Baseline</w:t>
            </w:r>
          </w:p>
        </w:tc>
        <w:tc>
          <w:tcPr>
            <w:tcW w:type="dxa" w:w="734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Current dirty worktree on deva/RAG-wiring; findings are worktree-specific</w:t>
            </w:r>
          </w:p>
        </w:tc>
      </w:tr>
    </w:tbl>
    <w:p>
      <w:pPr>
        <w:spacing w:after="0"/>
      </w:pPr>
    </w:p>
    <w:p>
      <w:pPr>
        <w:pStyle w:val="Heading1"/>
        <w:keepNext/>
        <w:pageBreakBefore/>
        <w:spacing w:before="160" w:after="100"/>
        <w:ind w:left="0" w:firstLine="0"/>
      </w:pPr>
      <w:r>
        <w:rPr>
          <w:rFonts w:ascii="Helvetica Neue" w:hAnsi="Helvetica Neue" w:eastAsia="Helvetica Neue"/>
          <w:b w:val="0"/>
          <w:color w:val="082A4A"/>
          <w:sz w:val="27"/>
        </w:rPr>
        <w:t>1.  Abstract</w:t>
      </w:r>
    </w:p>
    <w:p>
      <w:pPr>
        <w:spacing w:after="80" w:line="259" w:lineRule="auto"/>
      </w:pPr>
      <w:r>
        <w:rPr>
          <w:rFonts w:ascii="Helvetica Neue" w:hAnsi="Helvetica Neue" w:eastAsia="Helvetica Neue"/>
          <w:b w:val="0"/>
          <w:color w:val="233447"/>
          <w:sz w:val="19"/>
        </w:rPr>
        <w:t>The backend already contains most Phase 2 primitives: guided turn states, generated answer-component rubrics, the authoritative Schema 3.0 /session/event adapter, OCR regions, semantic canvas commands, scaffold-step handling, and completion forwarding. The missing work is orchestration consistency, not a second tutoring system.</w:t>
      </w:r>
    </w:p>
    <w:p>
      <w:pPr>
        <w:spacing w:after="80" w:line="259" w:lineRule="auto"/>
      </w:pPr>
      <w:r>
        <w:rPr>
          <w:rFonts w:ascii="Helvetica Neue" w:hAnsi="Helvetica Neue" w:eastAsia="Helvetica Neue"/>
          <w:b w:val="0"/>
          <w:color w:val="233447"/>
          <w:sz w:val="19"/>
        </w:rPr>
        <w:t>The smallest correct design is one shared, durable, idempotent turn processor used by text, voice, and canvas. It preserves confirmed answer components, selects one unresolved objective, emits exactly one authoritative Student Model event when required, composes one tutor turn, validates all output channels, and commits state once. UI rendering and Student Model implementation remain outside scope.</w:t>
      </w:r>
    </w:p>
    <w:p>
      <w:pPr>
        <w:spacing w:after="80" w:line="259" w:lineRule="auto"/>
      </w:pPr>
      <w:r>
        <w:rPr>
          <w:rFonts w:ascii="Helvetica Neue" w:hAnsi="Helvetica Neue" w:eastAsia="Helvetica Neue"/>
          <w:b/>
          <w:color w:val="233447"/>
          <w:sz w:val="19"/>
        </w:rPr>
        <w:t>Primary risk.</w:t>
      </w:r>
      <w:r>
        <w:rPr>
          <w:rFonts w:ascii="Helvetica Neue" w:hAnsi="Helvetica Neue" w:eastAsia="Helvetica Neue"/>
          <w:b w:val="0"/>
          <w:color w:val="233447"/>
          <w:sz w:val="19"/>
        </w:rPr>
        <w:t xml:space="preserve"> Canvas currently reaches the shared event seam but bypasses the richer interaction-state commit. A partial canvas answer can therefore lose its generated rubric, active objective, stuck streak, scaffold cursor, and effective attempt semantics. Fixing that root seam is the first implementation priority.</w:t>
      </w:r>
    </w:p>
    <w:p>
      <w:pPr>
        <w:pStyle w:val="Heading1"/>
        <w:keepNext/>
        <w:spacing w:before="160" w:after="100"/>
        <w:ind w:left="0" w:firstLine="0"/>
      </w:pPr>
      <w:r>
        <w:rPr>
          <w:rFonts w:ascii="Helvetica Neue" w:hAnsi="Helvetica Neue" w:eastAsia="Helvetica Neue"/>
          <w:b w:val="0"/>
          <w:color w:val="082A4A"/>
          <w:sz w:val="27"/>
        </w:rPr>
        <w:t>2.  Goals and Non-Goals</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4824"/>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Goals</w:t>
            </w:r>
          </w:p>
        </w:tc>
        <w:tc>
          <w:tcPr>
            <w:tcW w:type="dxa" w:w="4824"/>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Non-goals</w:t>
            </w:r>
          </w:p>
        </w:tc>
      </w:tr>
      <w:tr>
        <w:trPr>
          <w:cantSplit/>
        </w:trPr>
        <w:tc>
          <w:tcPr>
            <w:tcW w:type="dxa" w:w="482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Preserve confirmed answer components and continue from the first unresolved component across text, voice, and canvas.</w:t>
            </w:r>
          </w:p>
        </w:tc>
        <w:tc>
          <w:tcPr>
            <w:tcW w:type="dxa" w:w="482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Build or change the learner UI, canvas renderer, widgets, animations, status rail, or audio sequencing.</w:t>
            </w:r>
          </w:p>
        </w:tc>
      </w:tr>
      <w:tr>
        <w:trPr>
          <w:cantSplit/>
        </w:trPr>
        <w:tc>
          <w:tcPr>
            <w:tcW w:type="dxa" w:w="482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Keep /session/event authoritative for journey state, support routing, completion, and Phase 3 recommendation.</w:t>
            </w:r>
          </w:p>
        </w:tc>
        <w:tc>
          <w:tcPr>
            <w:tcW w:type="dxa" w:w="482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Implement Student Model question content, mastery logic, prerequisite selection, or Phase 3 difficulty.</w:t>
            </w:r>
          </w:p>
        </w:tc>
      </w:tr>
      <w:tr>
        <w:trPr>
          <w:cantSplit/>
        </w:trPr>
        <w:tc>
          <w:tcPr>
            <w:tcW w:type="dxa" w:w="482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Provide stable turn idempotency, per-session serialization, and durable Chirudeva-owned orchestration state.</w:t>
            </w:r>
          </w:p>
        </w:tc>
        <w:tc>
          <w:tcPr>
            <w:tcW w:type="dxa" w:w="482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Create a second RAG/content authority or restore legacy outbound /interaction or /hint/request fallbacks.</w:t>
            </w:r>
          </w:p>
        </w:tc>
      </w:tr>
      <w:tr>
        <w:trPr>
          <w:cantSplit/>
        </w:trPr>
        <w:tc>
          <w:tcPr>
            <w:tcW w:type="dxa" w:w="482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Return one safe tutor turn with short language and grounded semantic canvas commands.</w:t>
            </w:r>
          </w:p>
        </w:tc>
        <w:tc>
          <w:tcPr>
            <w:tcW w:type="dxa" w:w="482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Promise glyph-precise OCR annotations, exact tutor wording, or render-before-speech timing without client support.</w:t>
            </w:r>
          </w:p>
        </w:tc>
      </w:tr>
    </w:tbl>
    <w:p>
      <w:pPr>
        <w:spacing w:after="0"/>
      </w:pPr>
    </w:p>
    <w:p>
      <w:pPr>
        <w:pStyle w:val="Heading1"/>
        <w:keepNext/>
        <w:pageBreakBefore/>
        <w:spacing w:before="160" w:after="100"/>
        <w:ind w:left="0" w:firstLine="0"/>
      </w:pPr>
      <w:r>
        <w:rPr>
          <w:rFonts w:ascii="Helvetica Neue" w:hAnsi="Helvetica Neue" w:eastAsia="Helvetica Neue"/>
          <w:b w:val="0"/>
          <w:color w:val="082A4A"/>
          <w:sz w:val="27"/>
        </w:rPr>
        <w:t>3.  Requirements Distilled from the Phase 2 Document</w:t>
      </w:r>
    </w:p>
    <w:p>
      <w:pPr>
        <w:pStyle w:val="Heading2"/>
        <w:keepNext/>
        <w:spacing w:before="120" w:after="60"/>
        <w:ind w:left="0" w:firstLine="0"/>
      </w:pPr>
      <w:r>
        <w:rPr>
          <w:rFonts w:ascii="Helvetica Neue" w:hAnsi="Helvetica Neue" w:eastAsia="Helvetica Neue"/>
          <w:b/>
          <w:color w:val="082A4A"/>
          <w:sz w:val="21"/>
        </w:rPr>
        <w:t>Permanent tutor rules that affect backend behavior</w:t>
      </w:r>
    </w:p>
    <w:p>
      <w:pPr>
        <w:spacing w:after="80" w:line="259" w:lineRule="auto"/>
        <w:ind w:left="346" w:hanging="230"/>
      </w:pPr>
      <w:r>
        <w:rPr>
          <w:rFonts w:ascii="Helvetica Neue" w:hAnsi="Helvetica Neue" w:eastAsia="Helvetica Neue"/>
          <w:b w:val="0"/>
          <w:color w:val="233447"/>
          <w:sz w:val="18"/>
        </w:rPr>
        <w:t xml:space="preserve">•  </w:t>
      </w:r>
      <w:r>
        <w:rPr>
          <w:rFonts w:ascii="Helvetica Neue" w:hAnsi="Helvetica Neue" w:eastAsia="Helvetica Neue"/>
          <w:b w:val="0"/>
          <w:color w:val="233447"/>
          <w:sz w:val="18"/>
        </w:rPr>
        <w:t>Preserve correct work and continue from the first unresolved answer component; do not restart the whole question.</w:t>
      </w:r>
    </w:p>
    <w:p>
      <w:pPr>
        <w:spacing w:after="80" w:line="259" w:lineRule="auto"/>
        <w:ind w:left="346" w:hanging="230"/>
      </w:pPr>
      <w:r>
        <w:rPr>
          <w:rFonts w:ascii="Helvetica Neue" w:hAnsi="Helvetica Neue" w:eastAsia="Helvetica Neue"/>
          <w:b w:val="0"/>
          <w:color w:val="233447"/>
          <w:sz w:val="18"/>
        </w:rPr>
        <w:t xml:space="preserve">•  </w:t>
      </w:r>
      <w:r>
        <w:rPr>
          <w:rFonts w:ascii="Helvetica Neue" w:hAnsi="Helvetica Neue" w:eastAsia="Helvetica Neue"/>
          <w:b w:val="0"/>
          <w:color w:val="233447"/>
          <w:sz w:val="18"/>
        </w:rPr>
        <w:t>Treat PARTIAL as progress, not misconception evidence. Ask about one unresolved component per tutor turn.</w:t>
      </w:r>
    </w:p>
    <w:p>
      <w:pPr>
        <w:spacing w:after="80" w:line="259" w:lineRule="auto"/>
        <w:ind w:left="346" w:hanging="230"/>
      </w:pPr>
      <w:r>
        <w:rPr>
          <w:rFonts w:ascii="Helvetica Neue" w:hAnsi="Helvetica Neue" w:eastAsia="Helvetica Neue"/>
          <w:b w:val="0"/>
          <w:color w:val="233447"/>
          <w:sz w:val="18"/>
        </w:rPr>
        <w:t xml:space="preserve">•  </w:t>
      </w:r>
      <w:r>
        <w:rPr>
          <w:rFonts w:ascii="Helvetica Neue" w:hAnsi="Helvetica Neue" w:eastAsia="Helvetica Neue"/>
          <w:b w:val="0"/>
          <w:color w:val="233447"/>
          <w:sz w:val="18"/>
        </w:rPr>
        <w:t>Keep speech short—normally one or two sentences—with at most one focused question and specific affirmation of confirmed work.</w:t>
      </w:r>
    </w:p>
    <w:p>
      <w:pPr>
        <w:spacing w:after="80" w:line="259" w:lineRule="auto"/>
        <w:ind w:left="346" w:hanging="230"/>
      </w:pPr>
      <w:r>
        <w:rPr>
          <w:rFonts w:ascii="Helvetica Neue" w:hAnsi="Helvetica Neue" w:eastAsia="Helvetica Neue"/>
          <w:b w:val="0"/>
          <w:color w:val="233447"/>
          <w:sz w:val="18"/>
        </w:rPr>
        <w:t xml:space="preserve">•  </w:t>
      </w:r>
      <w:r>
        <w:rPr>
          <w:rFonts w:ascii="Helvetica Neue" w:hAnsi="Helvetica Neue" w:eastAsia="Helvetica Neue"/>
          <w:b w:val="0"/>
          <w:color w:val="233447"/>
          <w:sz w:val="18"/>
        </w:rPr>
        <w:t>Do not reveal unresolved final-answer content until authored scaffolding is exhausted or the route is explicitly tutor-solved.</w:t>
      </w:r>
    </w:p>
    <w:p>
      <w:pPr>
        <w:spacing w:after="80" w:line="259" w:lineRule="auto"/>
        <w:ind w:left="346" w:hanging="230"/>
      </w:pPr>
      <w:r>
        <w:rPr>
          <w:rFonts w:ascii="Helvetica Neue" w:hAnsi="Helvetica Neue" w:eastAsia="Helvetica Neue"/>
          <w:b w:val="0"/>
          <w:color w:val="233447"/>
          <w:sz w:val="18"/>
        </w:rPr>
        <w:t xml:space="preserve">•  </w:t>
      </w:r>
      <w:r>
        <w:rPr>
          <w:rFonts w:ascii="Helvetica Neue" w:hAnsi="Helvetica Neue" w:eastAsia="Helvetica Neue"/>
          <w:b w:val="0"/>
          <w:color w:val="233447"/>
          <w:sz w:val="18"/>
        </w:rPr>
        <w:t>Deliver support one item or scaffold step at a time, then require a low-load independent student action.</w:t>
      </w:r>
    </w:p>
    <w:p>
      <w:pPr>
        <w:spacing w:after="80" w:line="259" w:lineRule="auto"/>
        <w:ind w:left="346" w:hanging="230"/>
      </w:pPr>
      <w:r>
        <w:rPr>
          <w:rFonts w:ascii="Helvetica Neue" w:hAnsi="Helvetica Neue" w:eastAsia="Helvetica Neue"/>
          <w:b w:val="0"/>
          <w:color w:val="233447"/>
          <w:sz w:val="18"/>
        </w:rPr>
        <w:t xml:space="preserve">•  </w:t>
      </w:r>
      <w:r>
        <w:rPr>
          <w:rFonts w:ascii="Helvetica Neue" w:hAnsi="Helvetica Neue" w:eastAsia="Helvetica Neue"/>
          <w:b w:val="0"/>
          <w:color w:val="233447"/>
          <w:sz w:val="18"/>
        </w:rPr>
        <w:t>Record the highest support used and let the Student Model determine guided completion and the Phase 3 entry recommendation.</w:t>
      </w:r>
    </w:p>
    <w:p>
      <w:pPr>
        <w:pStyle w:val="Heading2"/>
        <w:keepNext/>
        <w:spacing w:before="120" w:after="60"/>
        <w:ind w:left="0" w:firstLine="0"/>
      </w:pPr>
      <w:r>
        <w:rPr>
          <w:rFonts w:ascii="Helvetica Neue" w:hAnsi="Helvetica Neue" w:eastAsia="Helvetica Neue"/>
          <w:b/>
          <w:color w:val="082A4A"/>
          <w:sz w:val="21"/>
        </w:rPr>
        <w:t>Question contracts the backend must orchestrate—not author</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512"/>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Question</w:t>
            </w:r>
          </w:p>
        </w:tc>
        <w:tc>
          <w:tcPr>
            <w:tcW w:type="dxa" w:w="3312"/>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Required answer components</w:t>
            </w:r>
          </w:p>
        </w:tc>
        <w:tc>
          <w:tcPr>
            <w:tcW w:type="dxa" w:w="4824"/>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Backend orchestration behavior</w:t>
            </w:r>
          </w:p>
        </w:tc>
      </w:tr>
      <w:tr>
        <w:trPr>
          <w:cantSplit/>
        </w:trPr>
        <w:tc>
          <w:tcPr>
            <w:tcW w:type="dxa" w:w="151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Q-T01-001</w:t>
            </w:r>
          </w:p>
        </w:tc>
        <w:tc>
          <w:tcPr>
            <w:tcW w:type="dxa" w:w="331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Changing quantity, fixed value, operation, complete rule, authored defence</w:t>
            </w:r>
          </w:p>
        </w:tc>
        <w:tc>
          <w:tcPr>
            <w:tcW w:type="dxa" w:w="482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n − 5 is PARTIAL with sign isolated; 5n selects only the authored error; n + 5 waits for defence; third STUCK requests prerequisite routing.</w:t>
            </w:r>
          </w:p>
        </w:tc>
      </w:tr>
      <w:tr>
        <w:trPr>
          <w:cantSplit/>
        </w:trPr>
        <w:tc>
          <w:tcPr>
            <w:tcW w:type="dxa" w:w="151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Q-T01-002</w:t>
            </w:r>
          </w:p>
        </w:tc>
        <w:tc>
          <w:tcPr>
            <w:tcW w:type="dxa" w:w="331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m changes, 7 fixed, + means addition</w:t>
            </w:r>
          </w:p>
        </w:tc>
        <w:tc>
          <w:tcPr>
            <w:tcW w:type="dxa" w:w="482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Preserve two confirmed components and request only the operation; fail readiness if the documented missing error mappings or scaffold are absent.</w:t>
            </w:r>
          </w:p>
        </w:tc>
      </w:tr>
      <w:tr>
        <w:trPr>
          <w:cantSplit/>
        </w:trPr>
        <w:tc>
          <w:tcPr>
            <w:tcW w:type="dxa" w:w="151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Q-T01-006</w:t>
            </w:r>
          </w:p>
        </w:tc>
        <w:tc>
          <w:tcPr>
            <w:tcW w:type="dxa" w:w="331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Rule c + 4, changing value c, fixed action +4</w:t>
            </w:r>
          </w:p>
        </w:tc>
        <w:tc>
          <w:tcPr>
            <w:tcW w:type="dxa" w:w="482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 + 4 alone remains PARTIAL; 4c uses an authored contradiction; complete only when every required component is confirmed.</w:t>
            </w:r>
          </w:p>
        </w:tc>
      </w:tr>
    </w:tbl>
    <w:p>
      <w:pPr>
        <w:spacing w:after="0"/>
      </w:pPr>
    </w:p>
    <w:p>
      <w:pPr>
        <w:pStyle w:val="Heading2"/>
        <w:keepNext/>
        <w:spacing w:before="120" w:after="60"/>
        <w:ind w:left="0" w:firstLine="0"/>
      </w:pPr>
      <w:r>
        <w:rPr>
          <w:rFonts w:ascii="Helvetica Neue" w:hAnsi="Helvetica Neue" w:eastAsia="Helvetica Neue"/>
          <w:b/>
          <w:color w:val="082A4A"/>
          <w:sz w:val="21"/>
        </w:rPr>
        <w:t>Canonical vocabulary</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800"/>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Document term</w:t>
            </w:r>
          </w:p>
        </w:tc>
        <w:tc>
          <w:tcPr>
            <w:tcW w:type="dxa" w:w="3168"/>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Use in backend</w:t>
            </w:r>
          </w:p>
        </w:tc>
        <w:tc>
          <w:tcPr>
            <w:tcW w:type="dxa" w:w="4680"/>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Boundary</w:t>
            </w:r>
          </w:p>
        </w:tc>
      </w:tr>
      <w:tr>
        <w:trPr>
          <w:cantSplit/>
        </w:trPr>
        <w:tc>
          <w:tcPr>
            <w:tcW w:type="dxa" w:w="180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Answer step</w:t>
            </w:r>
          </w:p>
        </w:tc>
        <w:tc>
          <w:tcPr>
            <w:tcW w:type="dxa" w:w="3168"/>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answer_component</w:t>
            </w:r>
          </w:p>
        </w:tc>
        <w:tc>
          <w:tcPr>
            <w:tcW w:type="dxa" w:w="468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A required part of a learner response; not a scaffold step or modelled solution step.</w:t>
            </w:r>
          </w:p>
        </w:tc>
      </w:tr>
      <w:tr>
        <w:trPr>
          <w:cantSplit/>
        </w:trPr>
        <w:tc>
          <w:tcPr>
            <w:tcW w:type="dxa" w:w="180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First unresolved step</w:t>
            </w:r>
          </w:p>
        </w:tc>
        <w:tc>
          <w:tcPr>
            <w:tcW w:type="dxa" w:w="3168"/>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active_teaching_objective</w:t>
            </w:r>
          </w:p>
        </w:tc>
        <w:tc>
          <w:tcPr>
            <w:tcW w:type="dxa" w:w="468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Nablix-local per-question orchestration state; not authoritative mastery.</w:t>
            </w:r>
          </w:p>
        </w:tc>
      </w:tr>
      <w:tr>
        <w:trPr>
          <w:cantSplit/>
        </w:trPr>
        <w:tc>
          <w:tcPr>
            <w:tcW w:type="dxa" w:w="180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Scaffold step</w:t>
            </w:r>
          </w:p>
        </w:tc>
        <w:tc>
          <w:tcPr>
            <w:tcW w:type="dxa" w:w="3168"/>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scaffold_step / support cursor</w:t>
            </w:r>
          </w:p>
        </w:tc>
        <w:tc>
          <w:tcPr>
            <w:tcW w:type="dxa" w:w="468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One authored support unit supplied through the Student Model contract.</w:t>
            </w:r>
          </w:p>
        </w:tc>
      </w:tr>
      <w:tr>
        <w:trPr>
          <w:cantSplit/>
        </w:trPr>
        <w:tc>
          <w:tcPr>
            <w:tcW w:type="dxa" w:w="180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Completed</w:t>
            </w:r>
          </w:p>
        </w:tc>
        <w:tc>
          <w:tcPr>
            <w:tcW w:type="dxa" w:w="3168"/>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question or guided-phase outcome</w:t>
            </w:r>
          </w:p>
        </w:tc>
        <w:tc>
          <w:tcPr>
            <w:tcW w:type="dxa" w:w="468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Not a student-turn classification; authoritative when returned by Student Model.</w:t>
            </w:r>
          </w:p>
        </w:tc>
      </w:tr>
      <w:tr>
        <w:trPr>
          <w:cantSplit/>
        </w:trPr>
        <w:tc>
          <w:tcPr>
            <w:tcW w:type="dxa" w:w="180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Canvas mark</w:t>
            </w:r>
          </w:p>
        </w:tc>
        <w:tc>
          <w:tcPr>
            <w:tcW w:type="dxa" w:w="3168"/>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CanvasDrawPayload</w:t>
            </w:r>
          </w:p>
        </w:tc>
        <w:tc>
          <w:tcPr>
            <w:tcW w:type="dxa" w:w="468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Semantic append-only tutor command; rendering and layer permissions are UI-owned.</w:t>
            </w:r>
          </w:p>
        </w:tc>
      </w:tr>
    </w:tbl>
    <w:p>
      <w:pPr>
        <w:spacing w:after="0"/>
      </w:pPr>
    </w:p>
    <w:p>
      <w:pPr>
        <w:pStyle w:val="Heading1"/>
        <w:keepNext/>
        <w:pageBreakBefore/>
        <w:spacing w:before="160" w:after="100"/>
        <w:ind w:left="0" w:firstLine="0"/>
      </w:pPr>
      <w:r>
        <w:rPr>
          <w:rFonts w:ascii="Helvetica Neue" w:hAnsi="Helvetica Neue" w:eastAsia="Helvetica Neue"/>
          <w:b w:val="0"/>
          <w:color w:val="082A4A"/>
          <w:sz w:val="27"/>
        </w:rPr>
        <w:t>4.  Current Backend Assessment</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232"/>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Capability</w:t>
            </w:r>
          </w:p>
        </w:tc>
        <w:tc>
          <w:tcPr>
            <w:tcW w:type="dxa" w:w="1080"/>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Status</w:t>
            </w:r>
          </w:p>
        </w:tc>
        <w:tc>
          <w:tcPr>
            <w:tcW w:type="dxa" w:w="6336"/>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Evidence and consequence</w:t>
            </w:r>
          </w:p>
        </w:tc>
      </w:tr>
      <w:tr>
        <w:trPr>
          <w:cantSplit/>
        </w:trPr>
        <w:tc>
          <w:tcPr>
            <w:tcW w:type="dxa" w:w="223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Schema 3.0 journey authority</w:t>
            </w:r>
          </w:p>
        </w:tc>
        <w:tc>
          <w:tcPr>
            <w:tcW w:type="dxa" w:w="108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Reuse</w:t>
            </w:r>
          </w:p>
        </w:tc>
        <w:tc>
          <w:tcPr>
            <w:tcW w:type="dxa" w:w="6336"/>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SESSION_OPENED and learner events use /session/event; returned phase/question/state are applied.</w:t>
            </w:r>
          </w:p>
        </w:tc>
      </w:tr>
      <w:tr>
        <w:trPr>
          <w:cantSplit/>
        </w:trPr>
        <w:tc>
          <w:tcPr>
            <w:tcW w:type="dxa" w:w="223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Guided evaluator</w:t>
            </w:r>
          </w:p>
        </w:tc>
        <w:tc>
          <w:tcPr>
            <w:tcW w:type="dxa" w:w="108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Reuse</w:t>
            </w:r>
          </w:p>
        </w:tc>
        <w:tc>
          <w:tcPr>
            <w:tcW w:type="dxa" w:w="6336"/>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CORRECT, PARTIAL, WRONG, STUCK, and UNCLEAR plus strict component/error validation already exist.</w:t>
            </w:r>
          </w:p>
        </w:tc>
      </w:tr>
      <w:tr>
        <w:trPr>
          <w:cantSplit/>
        </w:trPr>
        <w:tc>
          <w:tcPr>
            <w:tcW w:type="dxa" w:w="223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Answer-component memory</w:t>
            </w:r>
          </w:p>
        </w:tc>
        <w:tc>
          <w:tcPr>
            <w:tcW w:type="dxa" w:w="108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Partial</w:t>
            </w:r>
          </w:p>
        </w:tc>
        <w:tc>
          <w:tcPr>
            <w:tcW w:type="dxa" w:w="6336"/>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Generated rubric and active objective exist, but canvas does not commit the same state as the interaction path.</w:t>
            </w:r>
          </w:p>
        </w:tc>
      </w:tr>
      <w:tr>
        <w:trPr>
          <w:cantSplit/>
        </w:trPr>
        <w:tc>
          <w:tcPr>
            <w:tcW w:type="dxa" w:w="223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Support sequence</w:t>
            </w:r>
          </w:p>
        </w:tc>
        <w:tc>
          <w:tcPr>
            <w:tcW w:type="dxa" w:w="108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Partial</w:t>
            </w:r>
          </w:p>
        </w:tc>
        <w:tc>
          <w:tcPr>
            <w:tcW w:type="dxa" w:w="6336"/>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Current scaffold step is handled; direct Need Help, third-STUCK maximum support, rescue routes, and follow-up action are incomplete.</w:t>
            </w:r>
          </w:p>
        </w:tc>
      </w:tr>
      <w:tr>
        <w:trPr>
          <w:cantSplit/>
        </w:trPr>
        <w:tc>
          <w:tcPr>
            <w:tcW w:type="dxa" w:w="223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Canvas feedback</w:t>
            </w:r>
          </w:p>
        </w:tc>
        <w:tc>
          <w:tcPr>
            <w:tcW w:type="dxa" w:w="108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Partial</w:t>
            </w:r>
          </w:p>
        </w:tc>
        <w:tc>
          <w:tcPr>
            <w:tcW w:type="dxa" w:w="6336"/>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OCR and line-grounded draw commands exist; the guided LLM path can return before annotation review, and voice+canvas does not propagate graded draw commands.</w:t>
            </w:r>
          </w:p>
        </w:tc>
      </w:tr>
      <w:tr>
        <w:trPr>
          <w:cantSplit/>
        </w:trPr>
        <w:tc>
          <w:tcPr>
            <w:tcW w:type="dxa" w:w="223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Idempotency and serialization</w:t>
            </w:r>
          </w:p>
        </w:tc>
        <w:tc>
          <w:tcPr>
            <w:tcW w:type="dxa" w:w="108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Gap</w:t>
            </w:r>
          </w:p>
        </w:tc>
        <w:tc>
          <w:tcPr>
            <w:tcW w:type="dxa" w:w="6336"/>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Voice has duplicate handling; canvas lacks the shared lock and stable response replay; turn IDs are not uniformly required.</w:t>
            </w:r>
          </w:p>
        </w:tc>
      </w:tr>
      <w:tr>
        <w:trPr>
          <w:cantSplit/>
        </w:trPr>
        <w:tc>
          <w:tcPr>
            <w:tcW w:type="dxa" w:w="223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Durable resume</w:t>
            </w:r>
          </w:p>
        </w:tc>
        <w:tc>
          <w:tcPr>
            <w:tcW w:type="dxa" w:w="108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Gap</w:t>
            </w:r>
          </w:p>
        </w:tc>
        <w:tc>
          <w:tcPr>
            <w:tcW w:type="dxa" w:w="6336"/>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Sessions, locks, response cache, and snapshots are process-local; restart loses Nablix-owned Phase 2 progress.</w:t>
            </w:r>
          </w:p>
        </w:tc>
      </w:tr>
      <w:tr>
        <w:trPr>
          <w:cantSplit/>
        </w:trPr>
        <w:tc>
          <w:tcPr>
            <w:tcW w:type="dxa" w:w="223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Runtime readiness</w:t>
            </w:r>
          </w:p>
        </w:tc>
        <w:tc>
          <w:tcPr>
            <w:tcW w:type="dxa" w:w="108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Gap</w:t>
            </w:r>
          </w:p>
        </w:tc>
        <w:tc>
          <w:tcPr>
            <w:tcW w:type="dxa" w:w="6336"/>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The OpenAI tutor engine is disabled by default and can silently use a legacy deterministic path.</w:t>
            </w:r>
          </w:p>
        </w:tc>
      </w:tr>
    </w:tbl>
    <w:p>
      <w:pPr>
        <w:spacing w:after="0"/>
      </w:pPr>
    </w:p>
    <w:p>
      <w:pPr>
        <w:spacing w:after="80" w:line="259" w:lineRule="auto"/>
      </w:pPr>
      <w:r>
        <w:rPr>
          <w:rFonts w:ascii="Helvetica Neue" w:hAnsi="Helvetica Neue" w:eastAsia="Helvetica Neue"/>
          <w:b/>
          <w:color w:val="233447"/>
          <w:sz w:val="19"/>
        </w:rPr>
        <w:t>Root cause.</w:t>
      </w:r>
      <w:r>
        <w:rPr>
          <w:rFonts w:ascii="Helvetica Neue" w:hAnsi="Helvetica Neue" w:eastAsia="Helvetica Neue"/>
          <w:b w:val="0"/>
          <w:color w:val="233447"/>
          <w:sz w:val="19"/>
        </w:rPr>
        <w:t xml:space="preserve"> Canvas uses the shared Student Model event call but still has a separate local state transition and record path. Adding more canvas-specific guards would preserve the inconsistency. Replace that split with one shared turn commit.</w:t>
      </w:r>
    </w:p>
    <w:p>
      <w:pPr>
        <w:pStyle w:val="Heading1"/>
        <w:keepNext/>
        <w:pageBreakBefore/>
        <w:spacing w:before="160" w:after="100"/>
        <w:ind w:left="0" w:firstLine="0"/>
      </w:pPr>
      <w:r>
        <w:rPr>
          <w:rFonts w:ascii="Helvetica Neue" w:hAnsi="Helvetica Neue" w:eastAsia="Helvetica Neue"/>
          <w:b w:val="0"/>
          <w:color w:val="082A4A"/>
          <w:sz w:val="27"/>
        </w:rPr>
        <w:t>5.  Proposed Architecture</w:t>
      </w:r>
    </w:p>
    <w:p>
      <w:pPr>
        <w:jc w:val="center"/>
      </w:pPr>
      <w:r>
        <w:drawing>
          <wp:inline>
            <wp:extent cx="6126480" cy="3063240"/>
            <wp:docPr id="1" name="Picture 1" descr="Phase 2 backend flow from text, voice, or canvas evidence through a shared turn coordinator, Student Model authority, durable Nablix state, and a composed safe tutor turn." title="Shared Phase 2 backend orchestration"/>
            <wp:cNvGraphicFramePr>
              <a:graphicFrameLocks noChangeAspect="1"/>
            </wp:cNvGraphicFramePr>
            <a:graphic>
              <a:graphicData uri="http://schemas.openxmlformats.org/drawingml/2006/picture">
                <pic:pic>
                  <pic:nvPicPr>
                    <pic:cNvPr id="0" name="phase2-architecture.png"/>
                    <pic:cNvPicPr/>
                  </pic:nvPicPr>
                  <pic:blipFill>
                    <a:blip r:embed="rId7"/>
                    <a:stretch>
                      <a:fillRect/>
                    </a:stretch>
                  </pic:blipFill>
                  <pic:spPr>
                    <a:xfrm>
                      <a:off x="0" y="0"/>
                      <a:ext cx="6126480" cy="3063240"/>
                    </a:xfrm>
                    <a:prstGeom prst="rect"/>
                  </pic:spPr>
                </pic:pic>
              </a:graphicData>
            </a:graphic>
          </wp:inline>
        </w:drawing>
      </w:r>
    </w:p>
    <w:p>
      <w:pPr>
        <w:spacing w:after="80" w:line="259" w:lineRule="auto"/>
        <w:jc w:val="center"/>
      </w:pPr>
      <w:r>
        <w:rPr>
          <w:rFonts w:ascii="Helvetica Neue" w:hAnsi="Helvetica Neue" w:eastAsia="Helvetica Neue"/>
          <w:b w:val="0"/>
          <w:color w:val="082A4A"/>
          <w:sz w:val="16"/>
        </w:rPr>
        <w:t>Figure 1. Shared Phase 2 backend orchestration; UI and Student Model implementation remain outside scope.</w:t>
      </w:r>
    </w:p>
    <w:p>
      <w:pPr>
        <w:pStyle w:val="Heading2"/>
        <w:keepNext/>
        <w:spacing w:before="120" w:after="60"/>
        <w:ind w:left="0" w:firstLine="0"/>
      </w:pPr>
      <w:r>
        <w:rPr>
          <w:rFonts w:ascii="Helvetica Neue" w:hAnsi="Helvetica Neue" w:eastAsia="Helvetica Neue"/>
          <w:b/>
          <w:color w:val="082A4A"/>
          <w:sz w:val="21"/>
        </w:rPr>
        <w:t>Core components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656"/>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Component</w:t>
            </w:r>
          </w:p>
        </w:tc>
        <w:tc>
          <w:tcPr>
            <w:tcW w:type="dxa" w:w="3312"/>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Responsibility</w:t>
            </w:r>
          </w:p>
        </w:tc>
        <w:tc>
          <w:tcPr>
            <w:tcW w:type="dxa" w:w="2088"/>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Reuse</w:t>
            </w:r>
          </w:p>
        </w:tc>
        <w:tc>
          <w:tcPr>
            <w:tcW w:type="dxa" w:w="2592"/>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Failure behavior</w:t>
            </w:r>
          </w:p>
        </w:tc>
      </w:tr>
      <w:tr>
        <w:trPr>
          <w:cantSplit/>
        </w:trPr>
        <w:tc>
          <w:tcPr>
            <w:tcW w:type="dxa" w:w="1656"/>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Turn boundary</w:t>
            </w:r>
          </w:p>
        </w:tc>
        <w:tc>
          <w:tcPr>
            <w:tcW w:type="dxa" w:w="331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Validate session, stable turn_id, evidence, and channel; normalize into one strict internal turn model.</w:t>
            </w:r>
          </w:p>
        </w:tc>
        <w:tc>
          <w:tcPr>
            <w:tcW w:type="dxa" w:w="2088"/>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Existing text, voice, OCR inputs</w:t>
            </w:r>
          </w:p>
        </w:tc>
        <w:tc>
          <w:tcPr>
            <w:tcW w:type="dxa" w:w="259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Reject missing identity or invalid evidence before side effects.</w:t>
            </w:r>
          </w:p>
        </w:tc>
      </w:tr>
      <w:tr>
        <w:trPr>
          <w:cantSplit/>
        </w:trPr>
        <w:tc>
          <w:tcPr>
            <w:tcW w:type="dxa" w:w="1656"/>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Turn coordinator</w:t>
            </w:r>
          </w:p>
        </w:tc>
        <w:tc>
          <w:tcPr>
            <w:tcW w:type="dxa" w:w="331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Serialize per session; load/dedupe; evaluate; emit event; compose output; commit once.</w:t>
            </w:r>
          </w:p>
        </w:tc>
        <w:tc>
          <w:tcPr>
            <w:tcW w:type="dxa" w:w="2088"/>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Existing session lock and answer-event seam</w:t>
            </w:r>
          </w:p>
        </w:tc>
        <w:tc>
          <w:tcPr>
            <w:tcW w:type="dxa" w:w="259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Retry external event calls, then raise with request and status context.</w:t>
            </w:r>
          </w:p>
        </w:tc>
      </w:tr>
      <w:tr>
        <w:trPr>
          <w:cantSplit/>
        </w:trPr>
        <w:tc>
          <w:tcPr>
            <w:tcW w:type="dxa" w:w="1656"/>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Guided evaluator</w:t>
            </w:r>
          </w:p>
        </w:tc>
        <w:tc>
          <w:tcPr>
            <w:tcW w:type="dxa" w:w="331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Track confirmed/missing components and one active objective; enforce authored error codes.</w:t>
            </w:r>
          </w:p>
        </w:tc>
        <w:tc>
          <w:tcPr>
            <w:tcW w:type="dxa" w:w="2088"/>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guided_learning models and classifier</w:t>
            </w:r>
          </w:p>
        </w:tc>
        <w:tc>
          <w:tcPr>
            <w:tcW w:type="dxa" w:w="259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Fail closed on malformed evaluator output; no legacy fallback.</w:t>
            </w:r>
          </w:p>
        </w:tc>
      </w:tr>
      <w:tr>
        <w:trPr>
          <w:cantSplit/>
        </w:trPr>
        <w:tc>
          <w:tcPr>
            <w:tcW w:type="dxa" w:w="1656"/>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Canvas planner</w:t>
            </w:r>
          </w:p>
        </w:tc>
        <w:tc>
          <w:tcPr>
            <w:tcW w:type="dxa" w:w="331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Merge annotation-only mistake review and support actions into one guarded CanvasDrawPayload.</w:t>
            </w:r>
          </w:p>
        </w:tc>
        <w:tc>
          <w:tcPr>
            <w:tcW w:type="dxa" w:w="2088"/>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OCR regions and canvas_annotations</w:t>
            </w:r>
          </w:p>
        </w:tc>
        <w:tc>
          <w:tcPr>
            <w:tcW w:type="dxa" w:w="259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Return no tutor mark when evidence is not geometrically grounded.</w:t>
            </w:r>
          </w:p>
        </w:tc>
      </w:tr>
      <w:tr>
        <w:trPr>
          <w:cantSplit/>
        </w:trPr>
        <w:tc>
          <w:tcPr>
            <w:tcW w:type="dxa" w:w="1656"/>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Student Model adapter</w:t>
            </w:r>
          </w:p>
        </w:tc>
        <w:tc>
          <w:tcPr>
            <w:tcW w:type="dxa" w:w="331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Send deterministic Schema 3.0 events and apply authoritative returned state.</w:t>
            </w:r>
          </w:p>
        </w:tc>
        <w:tc>
          <w:tcPr>
            <w:tcW w:type="dxa" w:w="2088"/>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Existing /session/event adapter</w:t>
            </w:r>
          </w:p>
        </w:tc>
        <w:tc>
          <w:tcPr>
            <w:tcW w:type="dxa" w:w="259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Bounded retries with warnings, then explicit terminal error.</w:t>
            </w:r>
          </w:p>
        </w:tc>
      </w:tr>
      <w:tr>
        <w:trPr>
          <w:cantSplit/>
        </w:trPr>
        <w:tc>
          <w:tcPr>
            <w:tcW w:type="dxa" w:w="1656"/>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Concrete state store</w:t>
            </w:r>
          </w:p>
        </w:tc>
        <w:tc>
          <w:tcPr>
            <w:tcW w:type="dxa" w:w="331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Persist owned turn ledger, objective, support cursor, response replay, audit, and canvas references.</w:t>
            </w:r>
          </w:p>
        </w:tc>
        <w:tc>
          <w:tcPr>
            <w:tcW w:type="dxa" w:w="2088"/>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Current session-service call sites</w:t>
            </w:r>
          </w:p>
        </w:tc>
        <w:tc>
          <w:tcPr>
            <w:tcW w:type="dxa" w:w="259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No state mutation is acknowledged until the atomic commit succeeds.</w:t>
            </w:r>
          </w:p>
        </w:tc>
      </w:tr>
    </w:tbl>
    <w:p>
      <w:pPr>
        <w:spacing w:after="0"/>
      </w:pPr>
    </w:p>
    <w:p>
      <w:pPr>
        <w:pStyle w:val="Heading1"/>
        <w:keepNext/>
        <w:pageBreakBefore/>
        <w:spacing w:before="160" w:after="100"/>
        <w:ind w:left="0" w:firstLine="0"/>
      </w:pPr>
      <w:r>
        <w:rPr>
          <w:rFonts w:ascii="Helvetica Neue" w:hAnsi="Helvetica Neue" w:eastAsia="Helvetica Neue"/>
          <w:b w:val="0"/>
          <w:color w:val="082A4A"/>
          <w:sz w:val="27"/>
        </w:rPr>
        <w:t>6.  Core Feature Plan</w:t>
      </w:r>
    </w:p>
    <w:p>
      <w:pPr>
        <w:pStyle w:val="Heading2"/>
        <w:keepNext/>
        <w:spacing w:before="120" w:after="60"/>
        <w:ind w:left="0" w:firstLine="0"/>
      </w:pPr>
      <w:r>
        <w:rPr>
          <w:rFonts w:ascii="Helvetica Neue" w:hAnsi="Helvetica Neue" w:eastAsia="Helvetica Neue"/>
          <w:b/>
          <w:color w:val="082A4A"/>
          <w:sz w:val="21"/>
        </w:rPr>
        <w:t>P0 — One shared turn coordinator</w:t>
      </w:r>
    </w:p>
    <w:p>
      <w:pPr>
        <w:spacing w:after="80" w:line="259" w:lineRule="auto"/>
      </w:pPr>
      <w:r>
        <w:rPr>
          <w:rFonts w:ascii="Helvetica Neue" w:hAnsi="Helvetica Neue" w:eastAsia="Helvetica Neue"/>
          <w:b/>
          <w:color w:val="233447"/>
          <w:sz w:val="19"/>
        </w:rPr>
        <w:t>Outcome.</w:t>
      </w:r>
      <w:r>
        <w:rPr>
          <w:rFonts w:ascii="Helvetica Neue" w:hAnsi="Helvetica Neue" w:eastAsia="Helvetica Neue"/>
          <w:b w:val="0"/>
          <w:color w:val="233447"/>
          <w:sz w:val="19"/>
        </w:rPr>
        <w:t xml:space="preserve"> Text, voice, and canvas use identical evaluation, event, support, safety, and state-transition semantics.</w:t>
      </w:r>
    </w:p>
    <w:p>
      <w:pPr>
        <w:spacing w:after="80" w:line="259" w:lineRule="auto"/>
      </w:pPr>
      <w:r>
        <w:rPr>
          <w:rFonts w:ascii="Helvetica Neue" w:hAnsi="Helvetica Neue" w:eastAsia="Helvetica Neue"/>
          <w:b/>
          <w:color w:val="233447"/>
          <w:sz w:val="19"/>
        </w:rPr>
        <w:t>Reuse.</w:t>
      </w:r>
      <w:r>
        <w:rPr>
          <w:rFonts w:ascii="Helvetica Neue" w:hAnsi="Helvetica Neue" w:eastAsia="Helvetica Neue"/>
          <w:b w:val="0"/>
          <w:color w:val="233447"/>
          <w:sz w:val="19"/>
        </w:rPr>
        <w:t xml:space="preserve"> Keep process_answer_with_session_event(), existing strict guided models, per-session locking, OCR, and CanvasDrawPayload. Add only one internal StudentTurn and one coordinator function.</w:t>
      </w:r>
    </w:p>
    <w:p>
      <w:pPr>
        <w:spacing w:after="80" w:line="259" w:lineRule="auto"/>
        <w:ind w:left="403" w:hanging="259"/>
      </w:pPr>
      <w:r>
        <w:rPr>
          <w:rFonts w:ascii="Helvetica Neue" w:hAnsi="Helvetica Neue" w:eastAsia="Helvetica Neue"/>
          <w:b w:val="0"/>
          <w:color w:val="233447"/>
          <w:sz w:val="18"/>
        </w:rPr>
        <w:t xml:space="preserve">1.  </w:t>
      </w:r>
      <w:r>
        <w:rPr>
          <w:rFonts w:ascii="Helvetica Neue" w:hAnsi="Helvetica Neue" w:eastAsia="Helvetica Neue"/>
          <w:b w:val="0"/>
          <w:color w:val="233447"/>
          <w:sz w:val="18"/>
        </w:rPr>
        <w:t>Require session_id and a stable client turn_id for every mutating turn; reject duplicates by returning the stored response.</w:t>
      </w:r>
    </w:p>
    <w:p>
      <w:pPr>
        <w:spacing w:after="80" w:line="259" w:lineRule="auto"/>
        <w:ind w:left="403" w:hanging="259"/>
      </w:pPr>
      <w:r>
        <w:rPr>
          <w:rFonts w:ascii="Helvetica Neue" w:hAnsi="Helvetica Neue" w:eastAsia="Helvetica Neue"/>
          <w:b w:val="0"/>
          <w:color w:val="233447"/>
          <w:sz w:val="18"/>
        </w:rPr>
        <w:t xml:space="preserve">2.  </w:t>
      </w:r>
      <w:r>
        <w:rPr>
          <w:rFonts w:ascii="Helvetica Neue" w:hAnsi="Helvetica Neue" w:eastAsia="Helvetica Neue"/>
          <w:b w:val="0"/>
          <w:color w:val="233447"/>
          <w:sz w:val="18"/>
        </w:rPr>
        <w:t>Normalize text, voice transcript, or OCR evidence before acquiring the shared session transaction.</w:t>
      </w:r>
    </w:p>
    <w:p>
      <w:pPr>
        <w:spacing w:after="80" w:line="259" w:lineRule="auto"/>
        <w:ind w:left="403" w:hanging="259"/>
      </w:pPr>
      <w:r>
        <w:rPr>
          <w:rFonts w:ascii="Helvetica Neue" w:hAnsi="Helvetica Neue" w:eastAsia="Helvetica Neue"/>
          <w:b w:val="0"/>
          <w:color w:val="233447"/>
          <w:sz w:val="18"/>
        </w:rPr>
        <w:t xml:space="preserve">3.  </w:t>
      </w:r>
      <w:r>
        <w:rPr>
          <w:rFonts w:ascii="Helvetica Neue" w:hAnsi="Helvetica Neue" w:eastAsia="Helvetica Neue"/>
          <w:b w:val="0"/>
          <w:color w:val="233447"/>
          <w:sz w:val="18"/>
        </w:rPr>
        <w:t>Run guided evaluation, emit the required Schema 3.0 event, apply returned authority, compose one tutor turn, then commit state and response atomically.</w:t>
      </w:r>
    </w:p>
    <w:p>
      <w:pPr>
        <w:spacing w:after="80" w:line="259" w:lineRule="auto"/>
        <w:ind w:left="403" w:hanging="259"/>
      </w:pPr>
      <w:r>
        <w:rPr>
          <w:rFonts w:ascii="Helvetica Neue" w:hAnsi="Helvetica Neue" w:eastAsia="Helvetica Neue"/>
          <w:b w:val="0"/>
          <w:color w:val="233447"/>
          <w:sz w:val="18"/>
        </w:rPr>
        <w:t xml:space="preserve">4.  </w:t>
      </w:r>
      <w:r>
        <w:rPr>
          <w:rFonts w:ascii="Helvetica Neue" w:hAnsi="Helvetica Neue" w:eastAsia="Helvetica Neue"/>
          <w:b w:val="0"/>
          <w:color w:val="233447"/>
          <w:sz w:val="18"/>
        </w:rPr>
        <w:t>Delete the separate canvas state-transition path once all three entry points call the coordinator.</w:t>
      </w:r>
    </w:p>
    <w:p>
      <w:pPr>
        <w:spacing w:after="80" w:line="259" w:lineRule="auto"/>
      </w:pPr>
      <w:r>
        <w:rPr>
          <w:rFonts w:ascii="Helvetica Neue" w:hAnsi="Helvetica Neue" w:eastAsia="Helvetica Neue"/>
          <w:b/>
          <w:color w:val="233447"/>
          <w:sz w:val="19"/>
        </w:rPr>
        <w:t>Done when.</w:t>
      </w:r>
      <w:r>
        <w:rPr>
          <w:rFonts w:ascii="Helvetica Neue" w:hAnsi="Helvetica Neue" w:eastAsia="Helvetica Neue"/>
          <w:b w:val="0"/>
          <w:color w:val="233447"/>
          <w:sz w:val="19"/>
        </w:rPr>
        <w:t xml:space="preserve"> A partial answer submitted through any channel leaves the same confirmed components, active objective, attempt semantics, and support cursor.</w:t>
      </w:r>
    </w:p>
    <w:p>
      <w:pPr>
        <w:pStyle w:val="Heading2"/>
        <w:keepNext/>
        <w:spacing w:before="120" w:after="60"/>
        <w:ind w:left="0" w:firstLine="0"/>
      </w:pPr>
      <w:r>
        <w:rPr>
          <w:rFonts w:ascii="Helvetica Neue" w:hAnsi="Helvetica Neue" w:eastAsia="Helvetica Neue"/>
          <w:b/>
          <w:color w:val="082A4A"/>
          <w:sz w:val="21"/>
        </w:rPr>
        <w:t>P0 — Answer-component ledger and authored defence gate</w:t>
      </w:r>
    </w:p>
    <w:p>
      <w:pPr>
        <w:spacing w:after="80" w:line="259" w:lineRule="auto"/>
      </w:pPr>
      <w:r>
        <w:rPr>
          <w:rFonts w:ascii="Helvetica Neue" w:hAnsi="Helvetica Neue" w:eastAsia="Helvetica Neue"/>
          <w:b/>
          <w:color w:val="233447"/>
          <w:sz w:val="19"/>
        </w:rPr>
        <w:t>Outcome.</w:t>
      </w:r>
      <w:r>
        <w:rPr>
          <w:rFonts w:ascii="Helvetica Neue" w:hAnsi="Helvetica Neue" w:eastAsia="Helvetica Neue"/>
          <w:b w:val="0"/>
          <w:color w:val="233447"/>
          <w:sz w:val="19"/>
        </w:rPr>
        <w:t xml:space="preserve"> Correct work is preserved and a mathematically correct expression does not complete a question whose authored contract still requires identification or defence.</w:t>
      </w:r>
    </w:p>
    <w:p>
      <w:pPr>
        <w:spacing w:after="80" w:line="259" w:lineRule="auto"/>
      </w:pPr>
      <w:r>
        <w:rPr>
          <w:rFonts w:ascii="Helvetica Neue" w:hAnsi="Helvetica Neue" w:eastAsia="Helvetica Neue"/>
          <w:b/>
          <w:color w:val="233447"/>
          <w:sz w:val="19"/>
        </w:rPr>
        <w:t>Reuse.</w:t>
      </w:r>
      <w:r>
        <w:rPr>
          <w:rFonts w:ascii="Helvetica Neue" w:hAnsi="Helvetica Neue" w:eastAsia="Helvetica Neue"/>
          <w:b w:val="0"/>
          <w:color w:val="233447"/>
          <w:sz w:val="19"/>
        </w:rPr>
        <w:t xml:space="preserve"> Reuse GeneratedQuestionRubric, ActiveTeachingObjective, deterministic rubric fingerprints, and existing evaluator validation.</w:t>
      </w:r>
    </w:p>
    <w:p>
      <w:pPr>
        <w:spacing w:after="80" w:line="259" w:lineRule="auto"/>
        <w:ind w:left="403" w:hanging="259"/>
      </w:pPr>
      <w:r>
        <w:rPr>
          <w:rFonts w:ascii="Helvetica Neue" w:hAnsi="Helvetica Neue" w:eastAsia="Helvetica Neue"/>
          <w:b w:val="0"/>
          <w:color w:val="233447"/>
          <w:sz w:val="18"/>
        </w:rPr>
        <w:t xml:space="preserve">1.  </w:t>
      </w:r>
      <w:r>
        <w:rPr>
          <w:rFonts w:ascii="Helvetica Neue" w:hAnsi="Helvetica Neue" w:eastAsia="Helvetica Neue"/>
          <w:b w:val="0"/>
          <w:color w:val="233447"/>
          <w:sz w:val="18"/>
        </w:rPr>
        <w:t>Persist rubric fingerprint, confirmed and missing component IDs, selected error code, and active objective per question.</w:t>
      </w:r>
    </w:p>
    <w:p>
      <w:pPr>
        <w:spacing w:after="80" w:line="259" w:lineRule="auto"/>
        <w:ind w:left="403" w:hanging="259"/>
      </w:pPr>
      <w:r>
        <w:rPr>
          <w:rFonts w:ascii="Helvetica Neue" w:hAnsi="Helvetica Neue" w:eastAsia="Helvetica Neue"/>
          <w:b w:val="0"/>
          <w:color w:val="233447"/>
          <w:sz w:val="18"/>
        </w:rPr>
        <w:t xml:space="preserve">2.  </w:t>
      </w:r>
      <w:r>
        <w:rPr>
          <w:rFonts w:ascii="Helvetica Neue" w:hAnsi="Helvetica Neue" w:eastAsia="Helvetica Neue"/>
          <w:b w:val="0"/>
          <w:color w:val="233447"/>
          <w:sz w:val="18"/>
        </w:rPr>
        <w:t>Treat PARTIAL as a local progress update: do not emit INCORRECT_ATTEMPT and do not increment incorrect-history summaries.</w:t>
      </w:r>
    </w:p>
    <w:p>
      <w:pPr>
        <w:spacing w:after="80" w:line="259" w:lineRule="auto"/>
        <w:ind w:left="403" w:hanging="259"/>
      </w:pPr>
      <w:r>
        <w:rPr>
          <w:rFonts w:ascii="Helvetica Neue" w:hAnsi="Helvetica Neue" w:eastAsia="Helvetica Neue"/>
          <w:b w:val="0"/>
          <w:color w:val="233447"/>
          <w:sz w:val="18"/>
        </w:rPr>
        <w:t xml:space="preserve">3.  </w:t>
      </w:r>
      <w:r>
        <w:rPr>
          <w:rFonts w:ascii="Helvetica Neue" w:hAnsi="Helvetica Neue" w:eastAsia="Helvetica Neue"/>
          <w:b w:val="0"/>
          <w:color w:val="233447"/>
          <w:sz w:val="18"/>
        </w:rPr>
        <w:t>Represent authored defence as a required answer component or explicit pending-defence objective; do not invent generic defence questions.</w:t>
      </w:r>
    </w:p>
    <w:p>
      <w:pPr>
        <w:spacing w:after="80" w:line="259" w:lineRule="auto"/>
        <w:ind w:left="403" w:hanging="259"/>
      </w:pPr>
      <w:r>
        <w:rPr>
          <w:rFonts w:ascii="Helvetica Neue" w:hAnsi="Helvetica Neue" w:eastAsia="Helvetica Neue"/>
          <w:b w:val="0"/>
          <w:color w:val="233447"/>
          <w:sz w:val="18"/>
        </w:rPr>
        <w:t xml:space="preserve">4.  </w:t>
      </w:r>
      <w:r>
        <w:rPr>
          <w:rFonts w:ascii="Helvetica Neue" w:hAnsi="Helvetica Neue" w:eastAsia="Helvetica Neue"/>
          <w:b w:val="0"/>
          <w:color w:val="233447"/>
          <w:sz w:val="18"/>
        </w:rPr>
        <w:t>Emit CORRECT_ATTEMPT only after every required component is confirmed.</w:t>
      </w:r>
    </w:p>
    <w:p>
      <w:pPr>
        <w:spacing w:after="80" w:line="259" w:lineRule="auto"/>
      </w:pPr>
      <w:r>
        <w:rPr>
          <w:rFonts w:ascii="Helvetica Neue" w:hAnsi="Helvetica Neue" w:eastAsia="Helvetica Neue"/>
          <w:b/>
          <w:color w:val="233447"/>
          <w:sz w:val="19"/>
        </w:rPr>
        <w:t>Done when.</w:t>
      </w:r>
      <w:r>
        <w:rPr>
          <w:rFonts w:ascii="Helvetica Neue" w:hAnsi="Helvetica Neue" w:eastAsia="Helvetica Neue"/>
          <w:b w:val="0"/>
          <w:color w:val="233447"/>
          <w:sz w:val="19"/>
        </w:rPr>
        <w:t xml:space="preserve"> Q-T01-001 and Q-T01-006 remain incomplete until their authored multi-component contracts are satisfied.</w:t>
      </w:r>
    </w:p>
    <w:p>
      <w:pPr>
        <w:pStyle w:val="Heading2"/>
        <w:keepNext/>
        <w:spacing w:before="120" w:after="60"/>
        <w:ind w:left="0" w:firstLine="0"/>
      </w:pPr>
      <w:r>
        <w:rPr>
          <w:rFonts w:ascii="Helvetica Neue" w:hAnsi="Helvetica Neue" w:eastAsia="Helvetica Neue"/>
          <w:b/>
          <w:color w:val="082A4A"/>
          <w:sz w:val="21"/>
        </w:rPr>
        <w:t>P0 — Canvas orchestration parity and safe tutor marks</w:t>
      </w:r>
    </w:p>
    <w:p>
      <w:pPr>
        <w:spacing w:after="80" w:line="259" w:lineRule="auto"/>
      </w:pPr>
      <w:r>
        <w:rPr>
          <w:rFonts w:ascii="Helvetica Neue" w:hAnsi="Helvetica Neue" w:eastAsia="Helvetica Neue"/>
          <w:b/>
          <w:color w:val="233447"/>
          <w:sz w:val="19"/>
        </w:rPr>
        <w:t>Outcome.</w:t>
      </w:r>
      <w:r>
        <w:rPr>
          <w:rFonts w:ascii="Helvetica Neue" w:hAnsi="Helvetica Neue" w:eastAsia="Helvetica Neue"/>
          <w:b w:val="0"/>
          <w:color w:val="233447"/>
          <w:sz w:val="19"/>
        </w:rPr>
        <w:t xml:space="preserve"> Wrong or partial canvas work can produce grounded, non-revealing feedback without losing Phase 2 progress.</w:t>
      </w:r>
    </w:p>
    <w:p>
      <w:pPr>
        <w:spacing w:after="80" w:line="259" w:lineRule="auto"/>
      </w:pPr>
      <w:r>
        <w:rPr>
          <w:rFonts w:ascii="Helvetica Neue" w:hAnsi="Helvetica Neue" w:eastAsia="Helvetica Neue"/>
          <w:b/>
          <w:color w:val="233447"/>
          <w:sz w:val="19"/>
        </w:rPr>
        <w:t>Reuse.</w:t>
      </w:r>
      <w:r>
        <w:rPr>
          <w:rFonts w:ascii="Helvetica Neue" w:hAnsi="Helvetica Neue" w:eastAsia="Helvetica Neue"/>
          <w:b w:val="0"/>
          <w:color w:val="233447"/>
          <w:sz w:val="19"/>
        </w:rPr>
        <w:t xml:space="preserve"> Reuse Mathpix/OCR regions, review_canvas_math, canvas_annotations, and CanvasDrawPayload; keep current whole-line geometry.</w:t>
      </w:r>
    </w:p>
    <w:p>
      <w:pPr>
        <w:spacing w:after="80" w:line="259" w:lineRule="auto"/>
        <w:ind w:left="403" w:hanging="259"/>
      </w:pPr>
      <w:r>
        <w:rPr>
          <w:rFonts w:ascii="Helvetica Neue" w:hAnsi="Helvetica Neue" w:eastAsia="Helvetica Neue"/>
          <w:b w:val="0"/>
          <w:color w:val="233447"/>
          <w:sz w:val="18"/>
        </w:rPr>
        <w:t xml:space="preserve">1.  </w:t>
      </w:r>
      <w:r>
        <w:rPr>
          <w:rFonts w:ascii="Helvetica Neue" w:hAnsi="Helvetica Neue" w:eastAsia="Helvetica Neue"/>
          <w:b w:val="0"/>
          <w:color w:val="233447"/>
          <w:sz w:val="18"/>
        </w:rPr>
        <w:t>For guided canvas turns, run annotation-only canvas review when the guided result needs a grounded mistake location; merge its classification into the tutor outcome.</w:t>
      </w:r>
    </w:p>
    <w:p>
      <w:pPr>
        <w:spacing w:after="80" w:line="259" w:lineRule="auto"/>
        <w:ind w:left="403" w:hanging="259"/>
      </w:pPr>
      <w:r>
        <w:rPr>
          <w:rFonts w:ascii="Helvetica Neue" w:hAnsi="Helvetica Neue" w:eastAsia="Helvetica Neue"/>
          <w:b w:val="0"/>
          <w:color w:val="233447"/>
          <w:sz w:val="18"/>
        </w:rPr>
        <w:t xml:space="preserve">2.  </w:t>
      </w:r>
      <w:r>
        <w:rPr>
          <w:rFonts w:ascii="Helvetica Neue" w:hAnsi="Helvetica Neue" w:eastAsia="Helvetica Neue"/>
          <w:b w:val="0"/>
          <w:color w:val="233447"/>
          <w:sz w:val="18"/>
        </w:rPr>
        <w:t>Translate either the selected visual cue, scaffold step, or grounded correction into one atomic CanvasDrawPayload; never combine multiple support modes in one turn.</w:t>
      </w:r>
    </w:p>
    <w:p>
      <w:pPr>
        <w:spacing w:after="80" w:line="259" w:lineRule="auto"/>
        <w:ind w:left="403" w:hanging="259"/>
      </w:pPr>
      <w:r>
        <w:rPr>
          <w:rFonts w:ascii="Helvetica Neue" w:hAnsi="Helvetica Neue" w:eastAsia="Helvetica Neue"/>
          <w:b w:val="0"/>
          <w:color w:val="233447"/>
          <w:sz w:val="18"/>
        </w:rPr>
        <w:t xml:space="preserve">3.  </w:t>
      </w:r>
      <w:r>
        <w:rPr>
          <w:rFonts w:ascii="Helvetica Neue" w:hAnsi="Helvetica Neue" w:eastAsia="Helvetica Neue"/>
          <w:b w:val="0"/>
          <w:color w:val="233447"/>
          <w:sz w:val="18"/>
        </w:rPr>
        <w:t>Suppress write_correction text until the student has supplied the correction or the authoritative route is tutor-solved.</w:t>
      </w:r>
    </w:p>
    <w:p>
      <w:pPr>
        <w:spacing w:after="80" w:line="259" w:lineRule="auto"/>
        <w:ind w:left="403" w:hanging="259"/>
      </w:pPr>
      <w:r>
        <w:rPr>
          <w:rFonts w:ascii="Helvetica Neue" w:hAnsi="Helvetica Neue" w:eastAsia="Helvetica Neue"/>
          <w:b w:val="0"/>
          <w:color w:val="233447"/>
          <w:sz w:val="18"/>
        </w:rPr>
        <w:t xml:space="preserve">4.  </w:t>
      </w:r>
      <w:r>
        <w:rPr>
          <w:rFonts w:ascii="Helvetica Neue" w:hAnsi="Helvetica Neue" w:eastAsia="Helvetica Neue"/>
          <w:b w:val="0"/>
          <w:color w:val="233447"/>
          <w:sz w:val="18"/>
        </w:rPr>
        <w:t>For voice+canvas, generate the draw payload from the graded transcript plus stored OCR evidence and return it with the canonical tutor response.</w:t>
      </w:r>
    </w:p>
    <w:p>
      <w:pPr>
        <w:spacing w:after="80" w:line="259" w:lineRule="auto"/>
      </w:pPr>
      <w:r>
        <w:rPr>
          <w:rFonts w:ascii="Helvetica Neue" w:hAnsi="Helvetica Neue" w:eastAsia="Helvetica Neue"/>
          <w:b/>
          <w:color w:val="233447"/>
          <w:sz w:val="19"/>
        </w:rPr>
        <w:t>Done when.</w:t>
      </w:r>
      <w:r>
        <w:rPr>
          <w:rFonts w:ascii="Helvetica Neue" w:hAnsi="Helvetica Neue" w:eastAsia="Helvetica Neue"/>
          <w:b w:val="0"/>
          <w:color w:val="233447"/>
          <w:sz w:val="19"/>
        </w:rPr>
        <w:t xml:space="preserve"> Text, standalone canvas, and voice+canvas return equivalent tutor intent; ungrounded OCR never causes a precise mark or answer reveal.</w:t>
      </w:r>
    </w:p>
    <w:p>
      <w:pPr>
        <w:pStyle w:val="Heading2"/>
        <w:keepNext/>
        <w:spacing w:before="120" w:after="60"/>
        <w:ind w:left="0" w:firstLine="0"/>
      </w:pPr>
      <w:r>
        <w:rPr>
          <w:rFonts w:ascii="Helvetica Neue" w:hAnsi="Helvetica Neue" w:eastAsia="Helvetica Neue"/>
          <w:b/>
          <w:color w:val="082A4A"/>
          <w:sz w:val="21"/>
        </w:rPr>
        <w:t>P0 — Explicit support commands and complete STUCK ladder</w:t>
      </w:r>
    </w:p>
    <w:p>
      <w:pPr>
        <w:spacing w:after="80" w:line="259" w:lineRule="auto"/>
      </w:pPr>
      <w:r>
        <w:rPr>
          <w:rFonts w:ascii="Helvetica Neue" w:hAnsi="Helvetica Neue" w:eastAsia="Helvetica Neue"/>
          <w:b/>
          <w:color w:val="233447"/>
          <w:sz w:val="19"/>
        </w:rPr>
        <w:t>Outcome.</w:t>
      </w:r>
      <w:r>
        <w:rPr>
          <w:rFonts w:ascii="Helvetica Neue" w:hAnsi="Helvetica Neue" w:eastAsia="Helvetica Neue"/>
          <w:b w:val="0"/>
          <w:color w:val="233447"/>
          <w:sz w:val="19"/>
        </w:rPr>
        <w:t xml:space="preserve"> Need Help, Explain Again, repeated STUCK, parallel example, tutor-solved, and follow-up work are sequenced without being miscounted as answer attempts.</w:t>
      </w:r>
    </w:p>
    <w:p>
      <w:pPr>
        <w:spacing w:after="80" w:line="259" w:lineRule="auto"/>
      </w:pPr>
      <w:r>
        <w:rPr>
          <w:rFonts w:ascii="Helvetica Neue" w:hAnsi="Helvetica Neue" w:eastAsia="Helvetica Neue"/>
          <w:b/>
          <w:color w:val="233447"/>
          <w:sz w:val="19"/>
        </w:rPr>
        <w:t>Reuse.</w:t>
      </w:r>
      <w:r>
        <w:rPr>
          <w:rFonts w:ascii="Helvetica Neue" w:hAnsi="Helvetica Neue" w:eastAsia="Helvetica Neue"/>
          <w:b w:val="0"/>
          <w:color w:val="233447"/>
          <w:sz w:val="19"/>
        </w:rPr>
        <w:t xml:space="preserve"> Reuse the inbound interaction seam, support payloads already returned by Student Model, scaffold cursor, and typed maximum-support events. Keep /session/event as the only outbound learner-state mutation path.</w:t>
      </w:r>
    </w:p>
    <w:p>
      <w:pPr>
        <w:spacing w:after="80" w:line="259" w:lineRule="auto"/>
        <w:ind w:left="403" w:hanging="259"/>
      </w:pPr>
      <w:r>
        <w:rPr>
          <w:rFonts w:ascii="Helvetica Neue" w:hAnsi="Helvetica Neue" w:eastAsia="Helvetica Neue"/>
          <w:b w:val="0"/>
          <w:color w:val="233447"/>
          <w:sz w:val="18"/>
        </w:rPr>
        <w:t xml:space="preserve">1.  </w:t>
      </w:r>
      <w:r>
        <w:rPr>
          <w:rFonts w:ascii="Helvetica Neue" w:hAnsi="Helvetica Neue" w:eastAsia="Helvetica Neue"/>
          <w:b w:val="0"/>
          <w:color w:val="233447"/>
          <w:sz w:val="18"/>
        </w:rPr>
        <w:t>Add a typed support-request command that emits GUIDED_SUPPORT_ESCALATION_REQUIRED without INCORRECT_ATTEMPT.</w:t>
      </w:r>
    </w:p>
    <w:p>
      <w:pPr>
        <w:spacing w:after="80" w:line="259" w:lineRule="auto"/>
        <w:ind w:left="403" w:hanging="259"/>
      </w:pPr>
      <w:r>
        <w:rPr>
          <w:rFonts w:ascii="Helvetica Neue" w:hAnsi="Helvetica Neue" w:eastAsia="Helvetica Neue"/>
          <w:b w:val="0"/>
          <w:color w:val="233447"/>
          <w:sz w:val="18"/>
        </w:rPr>
        <w:t xml:space="preserve">2.  </w:t>
      </w:r>
      <w:r>
        <w:rPr>
          <w:rFonts w:ascii="Helvetica Neue" w:hAnsi="Helvetica Neue" w:eastAsia="Helvetica Neue"/>
          <w:b w:val="0"/>
          <w:color w:val="233447"/>
          <w:sz w:val="18"/>
        </w:rPr>
        <w:t>Make Explain Again replay the current support projection idempotently and without changing attempt, stuck, or mastery state.</w:t>
      </w:r>
    </w:p>
    <w:p>
      <w:pPr>
        <w:spacing w:after="80" w:line="259" w:lineRule="auto"/>
        <w:ind w:left="403" w:hanging="259"/>
      </w:pPr>
      <w:r>
        <w:rPr>
          <w:rFonts w:ascii="Helvetica Neue" w:hAnsi="Helvetica Neue" w:eastAsia="Helvetica Neue"/>
          <w:b w:val="0"/>
          <w:color w:val="233447"/>
          <w:sz w:val="18"/>
        </w:rPr>
        <w:t xml:space="preserve">3.  </w:t>
      </w:r>
      <w:r>
        <w:rPr>
          <w:rFonts w:ascii="Helvetica Neue" w:hAnsi="Helvetica Neue" w:eastAsia="Helvetica Neue"/>
          <w:b w:val="0"/>
          <w:color w:val="233447"/>
          <w:sz w:val="18"/>
        </w:rPr>
        <w:t>Map consecutive STUCK as: first reduce load locally; second request scaffold; third emit MAXIMUM_GUIDED_SUPPORT_REQUIRED and apply only returned prerequisite routing.</w:t>
      </w:r>
    </w:p>
    <w:p>
      <w:pPr>
        <w:spacing w:after="80" w:line="259" w:lineRule="auto"/>
        <w:ind w:left="403" w:hanging="259"/>
      </w:pPr>
      <w:r>
        <w:rPr>
          <w:rFonts w:ascii="Helvetica Neue" w:hAnsi="Helvetica Neue" w:eastAsia="Helvetica Neue"/>
          <w:b w:val="0"/>
          <w:color w:val="233447"/>
          <w:sz w:val="18"/>
        </w:rPr>
        <w:t xml:space="preserve">4.  </w:t>
      </w:r>
      <w:r>
        <w:rPr>
          <w:rFonts w:ascii="Helvetica Neue" w:hAnsi="Helvetica Neue" w:eastAsia="Helvetica Neue"/>
          <w:b w:val="0"/>
          <w:color w:val="233447"/>
          <w:sz w:val="18"/>
        </w:rPr>
        <w:t>Expose one returned support item or scaffold step; keep future steps private; after tutor-solved, require one low-load learner action before progression.</w:t>
      </w:r>
    </w:p>
    <w:p>
      <w:pPr>
        <w:spacing w:after="80" w:line="259" w:lineRule="auto"/>
      </w:pPr>
      <w:r>
        <w:rPr>
          <w:rFonts w:ascii="Helvetica Neue" w:hAnsi="Helvetica Neue" w:eastAsia="Helvetica Neue"/>
          <w:b/>
          <w:color w:val="233447"/>
          <w:sz w:val="19"/>
        </w:rPr>
        <w:t>Done when.</w:t>
      </w:r>
      <w:r>
        <w:rPr>
          <w:rFonts w:ascii="Helvetica Neue" w:hAnsi="Helvetica Neue" w:eastAsia="Helvetica Neue"/>
          <w:b w:val="0"/>
          <w:color w:val="233447"/>
          <w:sz w:val="19"/>
        </w:rPr>
        <w:t xml:space="preserve"> A three-STUCK integration trace reaches the typed maximum-support event, preserves the original question context, and follows the returned route.</w:t>
      </w:r>
    </w:p>
    <w:p>
      <w:pPr>
        <w:pStyle w:val="Heading2"/>
        <w:keepNext/>
        <w:spacing w:before="120" w:after="60"/>
        <w:ind w:left="0" w:firstLine="0"/>
      </w:pPr>
      <w:r>
        <w:rPr>
          <w:rFonts w:ascii="Helvetica Neue" w:hAnsi="Helvetica Neue" w:eastAsia="Helvetica Neue"/>
          <w:b/>
          <w:color w:val="082A4A"/>
          <w:sz w:val="21"/>
        </w:rPr>
        <w:t>P0 for production; defer only for a throwaway single-process demo — Durable state, replay, and concurrency safety</w:t>
      </w:r>
    </w:p>
    <w:p>
      <w:pPr>
        <w:spacing w:after="80" w:line="259" w:lineRule="auto"/>
      </w:pPr>
      <w:r>
        <w:rPr>
          <w:rFonts w:ascii="Helvetica Neue" w:hAnsi="Helvetica Neue" w:eastAsia="Helvetica Neue"/>
          <w:b/>
          <w:color w:val="233447"/>
          <w:sz w:val="19"/>
        </w:rPr>
        <w:t>Outcome.</w:t>
      </w:r>
      <w:r>
        <w:rPr>
          <w:rFonts w:ascii="Helvetica Neue" w:hAnsi="Helvetica Neue" w:eastAsia="Helvetica Neue"/>
          <w:b w:val="0"/>
          <w:color w:val="233447"/>
          <w:sz w:val="19"/>
        </w:rPr>
        <w:t xml:space="preserve"> Restart, retry, or concurrent submissions cannot lose progress or duplicate local/downstream effects.</w:t>
      </w:r>
    </w:p>
    <w:p>
      <w:pPr>
        <w:spacing w:after="80" w:line="259" w:lineRule="auto"/>
      </w:pPr>
      <w:r>
        <w:rPr>
          <w:rFonts w:ascii="Helvetica Neue" w:hAnsi="Helvetica Neue" w:eastAsia="Helvetica Neue"/>
          <w:b/>
          <w:color w:val="233447"/>
          <w:sz w:val="19"/>
        </w:rPr>
        <w:t>Reuse.</w:t>
      </w:r>
      <w:r>
        <w:rPr>
          <w:rFonts w:ascii="Helvetica Neue" w:hAnsi="Helvetica Neue" w:eastAsia="Helvetica Neue"/>
          <w:b w:val="0"/>
          <w:color w:val="233447"/>
          <w:sz w:val="19"/>
        </w:rPr>
        <w:t xml:space="preserve"> Replace dictionary operations through one concrete store module; do not add a repository framework. Keep deterministic event identity and expected journey versions.</w:t>
      </w:r>
    </w:p>
    <w:p>
      <w:pPr>
        <w:spacing w:after="80" w:line="259" w:lineRule="auto"/>
        <w:ind w:left="403" w:hanging="259"/>
      </w:pPr>
      <w:r>
        <w:rPr>
          <w:rFonts w:ascii="Helvetica Neue" w:hAnsi="Helvetica Neue" w:eastAsia="Helvetica Neue"/>
          <w:b w:val="0"/>
          <w:color w:val="233447"/>
          <w:sz w:val="18"/>
        </w:rPr>
        <w:t xml:space="preserve">1.  </w:t>
      </w:r>
      <w:r>
        <w:rPr>
          <w:rFonts w:ascii="Helvetica Neue" w:hAnsi="Helvetica Neue" w:eastAsia="Helvetica Neue"/>
          <w:b w:val="0"/>
          <w:color w:val="233447"/>
          <w:sz w:val="18"/>
        </w:rPr>
        <w:t>Confirm deployment topology: use SQLite in WAL mode on one persistent VM; use Postgres plus object/blob storage for multiple instances or serverless.</w:t>
      </w:r>
    </w:p>
    <w:p>
      <w:pPr>
        <w:spacing w:after="80" w:line="259" w:lineRule="auto"/>
        <w:ind w:left="403" w:hanging="259"/>
      </w:pPr>
      <w:r>
        <w:rPr>
          <w:rFonts w:ascii="Helvetica Neue" w:hAnsi="Helvetica Neue" w:eastAsia="Helvetica Neue"/>
          <w:b w:val="0"/>
          <w:color w:val="233447"/>
          <w:sz w:val="18"/>
        </w:rPr>
        <w:t xml:space="preserve">2.  </w:t>
      </w:r>
      <w:r>
        <w:rPr>
          <w:rFonts w:ascii="Helvetica Neue" w:hAnsi="Helvetica Neue" w:eastAsia="Helvetica Neue"/>
          <w:b w:val="0"/>
          <w:color w:val="233447"/>
          <w:sz w:val="18"/>
        </w:rPr>
        <w:t>Persist only Nablix-owned orchestration state: rubric, component ledger, objective, stuck/scaffold cursor, processed response, audit history, and canvas references.</w:t>
      </w:r>
    </w:p>
    <w:p>
      <w:pPr>
        <w:spacing w:after="80" w:line="259" w:lineRule="auto"/>
        <w:ind w:left="403" w:hanging="259"/>
      </w:pPr>
      <w:r>
        <w:rPr>
          <w:rFonts w:ascii="Helvetica Neue" w:hAnsi="Helvetica Neue" w:eastAsia="Helvetica Neue"/>
          <w:b w:val="0"/>
          <w:color w:val="233447"/>
          <w:sz w:val="18"/>
        </w:rPr>
        <w:t xml:space="preserve">3.  </w:t>
      </w:r>
      <w:r>
        <w:rPr>
          <w:rFonts w:ascii="Helvetica Neue" w:hAnsi="Helvetica Neue" w:eastAsia="Helvetica Neue"/>
          <w:b w:val="0"/>
          <w:color w:val="233447"/>
          <w:sz w:val="18"/>
        </w:rPr>
        <w:t>Enforce a unique (session_id, turn_id) record and reuse the same downstream request/event identity on retries.</w:t>
      </w:r>
    </w:p>
    <w:p>
      <w:pPr>
        <w:spacing w:after="80" w:line="259" w:lineRule="auto"/>
        <w:ind w:left="403" w:hanging="259"/>
      </w:pPr>
      <w:r>
        <w:rPr>
          <w:rFonts w:ascii="Helvetica Neue" w:hAnsi="Helvetica Neue" w:eastAsia="Helvetica Neue"/>
          <w:b w:val="0"/>
          <w:color w:val="233447"/>
          <w:sz w:val="18"/>
        </w:rPr>
        <w:t xml:space="preserve">4.  </w:t>
      </w:r>
      <w:r>
        <w:rPr>
          <w:rFonts w:ascii="Helvetica Neue" w:hAnsi="Helvetica Neue" w:eastAsia="Helvetica Neue"/>
          <w:b w:val="0"/>
          <w:color w:val="233447"/>
          <w:sz w:val="18"/>
        </w:rPr>
        <w:t>Commit the authoritative returned state and response in the same local transaction before acknowledging the turn.</w:t>
      </w:r>
    </w:p>
    <w:p>
      <w:pPr>
        <w:spacing w:after="80" w:line="259" w:lineRule="auto"/>
      </w:pPr>
      <w:r>
        <w:rPr>
          <w:rFonts w:ascii="Helvetica Neue" w:hAnsi="Helvetica Neue" w:eastAsia="Helvetica Neue"/>
          <w:b/>
          <w:color w:val="233447"/>
          <w:sz w:val="19"/>
        </w:rPr>
        <w:t>Done when.</w:t>
      </w:r>
      <w:r>
        <w:rPr>
          <w:rFonts w:ascii="Helvetica Neue" w:hAnsi="Helvetica Neue" w:eastAsia="Helvetica Neue"/>
          <w:b w:val="0"/>
          <w:color w:val="233447"/>
          <w:sz w:val="19"/>
        </w:rPr>
        <w:t xml:space="preserve"> A process restart and duplicate replay reconstruct the same tutor response and current objective without another Student Model mutation.</w:t>
      </w:r>
    </w:p>
    <w:p>
      <w:pPr>
        <w:pStyle w:val="Heading2"/>
        <w:keepNext/>
        <w:spacing w:before="120" w:after="60"/>
        <w:ind w:left="0" w:firstLine="0"/>
      </w:pPr>
      <w:r>
        <w:rPr>
          <w:rFonts w:ascii="Helvetica Neue" w:hAnsi="Helvetica Neue" w:eastAsia="Helvetica Neue"/>
          <w:b/>
          <w:color w:val="082A4A"/>
          <w:sz w:val="21"/>
        </w:rPr>
        <w:t>P1 — Fail-closed contracts and cross-channel tutor policy</w:t>
      </w:r>
    </w:p>
    <w:p>
      <w:pPr>
        <w:spacing w:after="80" w:line="259" w:lineRule="auto"/>
      </w:pPr>
      <w:r>
        <w:rPr>
          <w:rFonts w:ascii="Helvetica Neue" w:hAnsi="Helvetica Neue" w:eastAsia="Helvetica Neue"/>
          <w:b/>
          <w:color w:val="233447"/>
          <w:sz w:val="19"/>
        </w:rPr>
        <w:t>Outcome.</w:t>
      </w:r>
      <w:r>
        <w:rPr>
          <w:rFonts w:ascii="Helvetica Neue" w:hAnsi="Helvetica Neue" w:eastAsia="Helvetica Neue"/>
          <w:b w:val="0"/>
          <w:color w:val="233447"/>
          <w:sz w:val="19"/>
        </w:rPr>
        <w:t xml:space="preserve"> Phase 2 never silently runs with missing Topic 1 content, a disabled tutor engine, unknown error codes, or an answer-revealing output channel.</w:t>
      </w:r>
    </w:p>
    <w:p>
      <w:pPr>
        <w:spacing w:after="80" w:line="259" w:lineRule="auto"/>
      </w:pPr>
      <w:r>
        <w:rPr>
          <w:rFonts w:ascii="Helvetica Neue" w:hAnsi="Helvetica Neue" w:eastAsia="Helvetica Neue"/>
          <w:b/>
          <w:color w:val="233447"/>
          <w:sz w:val="19"/>
        </w:rPr>
        <w:t>Reuse.</w:t>
      </w:r>
      <w:r>
        <w:rPr>
          <w:rFonts w:ascii="Helvetica Neue" w:hAnsi="Helvetica Neue" w:eastAsia="Helvetica Neue"/>
          <w:b w:val="0"/>
          <w:color w:val="233447"/>
          <w:sz w:val="19"/>
        </w:rPr>
        <w:t xml:space="preserve"> Extend current strict Pydantic models, evaluator validation, and answer-reveal guard; remove the stale RAG promise instead of wiring a second content authority.</w:t>
      </w:r>
    </w:p>
    <w:p>
      <w:pPr>
        <w:spacing w:after="80" w:line="259" w:lineRule="auto"/>
        <w:ind w:left="403" w:hanging="259"/>
      </w:pPr>
      <w:r>
        <w:rPr>
          <w:rFonts w:ascii="Helvetica Neue" w:hAnsi="Helvetica Neue" w:eastAsia="Helvetica Neue"/>
          <w:b w:val="0"/>
          <w:color w:val="233447"/>
          <w:sz w:val="18"/>
        </w:rPr>
        <w:t xml:space="preserve">1.  </w:t>
      </w:r>
      <w:r>
        <w:rPr>
          <w:rFonts w:ascii="Helvetica Neue" w:hAnsi="Helvetica Neue" w:eastAsia="Helvetica Neue"/>
          <w:b w:val="0"/>
          <w:color w:val="233447"/>
          <w:sz w:val="18"/>
        </w:rPr>
        <w:t>At Phase 2 entry, validate required answer spec, component IDs, authored errors, response patterns, support catalogue, scaffold steps, and prerequisite targets.</w:t>
      </w:r>
    </w:p>
    <w:p>
      <w:pPr>
        <w:spacing w:after="80" w:line="259" w:lineRule="auto"/>
        <w:ind w:left="403" w:hanging="259"/>
      </w:pPr>
      <w:r>
        <w:rPr>
          <w:rFonts w:ascii="Helvetica Neue" w:hAnsi="Helvetica Neue" w:eastAsia="Helvetica Neue"/>
          <w:b w:val="0"/>
          <w:color w:val="233447"/>
          <w:sz w:val="18"/>
        </w:rPr>
        <w:t xml:space="preserve">2.  </w:t>
      </w:r>
      <w:r>
        <w:rPr>
          <w:rFonts w:ascii="Helvetica Neue" w:hAnsi="Helvetica Neue" w:eastAsia="Helvetica Neue"/>
          <w:b w:val="0"/>
          <w:color w:val="233447"/>
          <w:sz w:val="18"/>
        </w:rPr>
        <w:t>Require the configured guided AI engine and credentials at startup; reject contradictory production configuration rather than falling back.</w:t>
      </w:r>
    </w:p>
    <w:p>
      <w:pPr>
        <w:spacing w:after="80" w:line="259" w:lineRule="auto"/>
        <w:ind w:left="403" w:hanging="259"/>
      </w:pPr>
      <w:r>
        <w:rPr>
          <w:rFonts w:ascii="Helvetica Neue" w:hAnsi="Helvetica Neue" w:eastAsia="Helvetica Neue"/>
          <w:b w:val="0"/>
          <w:color w:val="233447"/>
          <w:sz w:val="18"/>
        </w:rPr>
        <w:t xml:space="preserve">3.  </w:t>
      </w:r>
      <w:r>
        <w:rPr>
          <w:rFonts w:ascii="Helvetica Neue" w:hAnsi="Helvetica Neue" w:eastAsia="Helvetica Neue"/>
          <w:b w:val="0"/>
          <w:color w:val="233447"/>
          <w:sz w:val="18"/>
        </w:rPr>
        <w:t>Select one authoritative support content source per turn and validate one focused question, normally no more than two spoken sentences.</w:t>
      </w:r>
    </w:p>
    <w:p>
      <w:pPr>
        <w:spacing w:after="80" w:line="259" w:lineRule="auto"/>
        <w:ind w:left="403" w:hanging="259"/>
      </w:pPr>
      <w:r>
        <w:rPr>
          <w:rFonts w:ascii="Helvetica Neue" w:hAnsi="Helvetica Neue" w:eastAsia="Helvetica Neue"/>
          <w:b w:val="0"/>
          <w:color w:val="233447"/>
          <w:sz w:val="18"/>
        </w:rPr>
        <w:t xml:space="preserve">4.  </w:t>
      </w:r>
      <w:r>
        <w:rPr>
          <w:rFonts w:ascii="Helvetica Neue" w:hAnsi="Helvetica Neue" w:eastAsia="Helvetica Neue"/>
          <w:b w:val="0"/>
          <w:color w:val="233447"/>
          <w:sz w:val="18"/>
        </w:rPr>
        <w:t>Run the no-answer-reveal guard on the fully composed response: text, voice, hint, visual actions, scaffold content, and canvas text.</w:t>
      </w:r>
    </w:p>
    <w:p>
      <w:pPr>
        <w:spacing w:after="80" w:line="259" w:lineRule="auto"/>
      </w:pPr>
      <w:r>
        <w:rPr>
          <w:rFonts w:ascii="Helvetica Neue" w:hAnsi="Helvetica Neue" w:eastAsia="Helvetica Neue"/>
          <w:b/>
          <w:color w:val="233447"/>
          <w:sz w:val="19"/>
        </w:rPr>
        <w:t>Done when.</w:t>
      </w:r>
      <w:r>
        <w:rPr>
          <w:rFonts w:ascii="Helvetica Neue" w:hAnsi="Helvetica Neue" w:eastAsia="Helvetica Neue"/>
          <w:b w:val="0"/>
          <w:color w:val="233447"/>
          <w:sz w:val="19"/>
        </w:rPr>
        <w:t xml:space="preserve"> Malformed Q-T01-002 content or unsafe generated output produces a clear actionable error and no state mutation.</w:t>
      </w:r>
    </w:p>
    <w:p>
      <w:pPr>
        <w:pStyle w:val="Heading1"/>
        <w:keepNext/>
        <w:pageBreakBefore/>
        <w:spacing w:before="160" w:after="100"/>
        <w:ind w:left="0" w:firstLine="0"/>
      </w:pPr>
      <w:r>
        <w:rPr>
          <w:rFonts w:ascii="Helvetica Neue" w:hAnsi="Helvetica Neue" w:eastAsia="Helvetica Neue"/>
          <w:b w:val="0"/>
          <w:color w:val="082A4A"/>
          <w:sz w:val="27"/>
        </w:rPr>
        <w:t>7.  Request Lifecycle</w:t>
      </w:r>
    </w:p>
    <w:p>
      <w:pPr>
        <w:spacing w:after="80" w:line="259" w:lineRule="auto"/>
        <w:ind w:left="403" w:hanging="259"/>
      </w:pPr>
      <w:r>
        <w:rPr>
          <w:rFonts w:ascii="Helvetica Neue" w:hAnsi="Helvetica Neue" w:eastAsia="Helvetica Neue"/>
          <w:b w:val="0"/>
          <w:color w:val="233447"/>
          <w:sz w:val="18"/>
        </w:rPr>
        <w:t xml:space="preserve">1.  </w:t>
      </w:r>
      <w:r>
        <w:rPr>
          <w:rFonts w:ascii="Helvetica Neue" w:hAnsi="Helvetica Neue" w:eastAsia="Helvetica Neue"/>
          <w:b w:val="0"/>
          <w:color w:val="233447"/>
          <w:sz w:val="18"/>
        </w:rPr>
        <w:t>Boundary validation: authenticate the session, require stable turn identity for mutations, validate channel evidence, and reject oversized or malformed canvas payloads.</w:t>
      </w:r>
    </w:p>
    <w:p>
      <w:pPr>
        <w:spacing w:after="80" w:line="259" w:lineRule="auto"/>
        <w:ind w:left="403" w:hanging="259"/>
      </w:pPr>
      <w:r>
        <w:rPr>
          <w:rFonts w:ascii="Helvetica Neue" w:hAnsi="Helvetica Neue" w:eastAsia="Helvetica Neue"/>
          <w:b w:val="0"/>
          <w:color w:val="233447"/>
          <w:sz w:val="18"/>
        </w:rPr>
        <w:t xml:space="preserve">2.  </w:t>
      </w:r>
      <w:r>
        <w:rPr>
          <w:rFonts w:ascii="Helvetica Neue" w:hAnsi="Helvetica Neue" w:eastAsia="Helvetica Neue"/>
          <w:b w:val="0"/>
          <w:color w:val="233447"/>
          <w:sz w:val="18"/>
        </w:rPr>
        <w:t>Replay check: load the durable turn record. If complete, return its stored response; if in progress, wait or return a precise conflict according to the concrete store.</w:t>
      </w:r>
    </w:p>
    <w:p>
      <w:pPr>
        <w:spacing w:after="80" w:line="259" w:lineRule="auto"/>
        <w:ind w:left="403" w:hanging="259"/>
      </w:pPr>
      <w:r>
        <w:rPr>
          <w:rFonts w:ascii="Helvetica Neue" w:hAnsi="Helvetica Neue" w:eastAsia="Helvetica Neue"/>
          <w:b w:val="0"/>
          <w:color w:val="233447"/>
          <w:sz w:val="18"/>
        </w:rPr>
        <w:t xml:space="preserve">3.  </w:t>
      </w:r>
      <w:r>
        <w:rPr>
          <w:rFonts w:ascii="Helvetica Neue" w:hAnsi="Helvetica Neue" w:eastAsia="Helvetica Neue"/>
          <w:b w:val="0"/>
          <w:color w:val="233447"/>
          <w:sz w:val="18"/>
        </w:rPr>
        <w:t>State load: lock the session and load the authoritative journey projection plus Nablix-owned rubric, component ledger, objective, support cursor, and canvas references.</w:t>
      </w:r>
    </w:p>
    <w:p>
      <w:pPr>
        <w:spacing w:after="80" w:line="259" w:lineRule="auto"/>
        <w:ind w:left="403" w:hanging="259"/>
      </w:pPr>
      <w:r>
        <w:rPr>
          <w:rFonts w:ascii="Helvetica Neue" w:hAnsi="Helvetica Neue" w:eastAsia="Helvetica Neue"/>
          <w:b w:val="0"/>
          <w:color w:val="233447"/>
          <w:sz w:val="18"/>
        </w:rPr>
        <w:t xml:space="preserve">4.  </w:t>
      </w:r>
      <w:r>
        <w:rPr>
          <w:rFonts w:ascii="Helvetica Neue" w:hAnsi="Helvetica Neue" w:eastAsia="Helvetica Neue"/>
          <w:b w:val="0"/>
          <w:color w:val="233447"/>
          <w:sz w:val="18"/>
        </w:rPr>
        <w:t>Evaluation: classify the turn as CORRECT, PARTIAL, WRONG, STUCK, or UNCLEAR. For canvas, attach only OCR-grounded mistake geometry.</w:t>
      </w:r>
    </w:p>
    <w:p>
      <w:pPr>
        <w:spacing w:after="80" w:line="259" w:lineRule="auto"/>
        <w:ind w:left="403" w:hanging="259"/>
      </w:pPr>
      <w:r>
        <w:rPr>
          <w:rFonts w:ascii="Helvetica Neue" w:hAnsi="Helvetica Neue" w:eastAsia="Helvetica Neue"/>
          <w:b w:val="0"/>
          <w:color w:val="233447"/>
          <w:sz w:val="18"/>
        </w:rPr>
        <w:t xml:space="preserve">5.  </w:t>
      </w:r>
      <w:r>
        <w:rPr>
          <w:rFonts w:ascii="Helvetica Neue" w:hAnsi="Helvetica Neue" w:eastAsia="Helvetica Neue"/>
          <w:b w:val="0"/>
          <w:color w:val="233447"/>
          <w:sz w:val="18"/>
        </w:rPr>
        <w:t>Event decision: PARTIAL may remain local; WRONG emits an authored INCORRECT_ATTEMPT; CORRECT waits for any authored defence; STUCK follows the explicit three-step ladder; support requests are not attempts.</w:t>
      </w:r>
    </w:p>
    <w:p>
      <w:pPr>
        <w:spacing w:after="80" w:line="259" w:lineRule="auto"/>
        <w:ind w:left="403" w:hanging="259"/>
      </w:pPr>
      <w:r>
        <w:rPr>
          <w:rFonts w:ascii="Helvetica Neue" w:hAnsi="Helvetica Neue" w:eastAsia="Helvetica Neue"/>
          <w:b w:val="0"/>
          <w:color w:val="233447"/>
          <w:sz w:val="18"/>
        </w:rPr>
        <w:t xml:space="preserve">6.  </w:t>
      </w:r>
      <w:r>
        <w:rPr>
          <w:rFonts w:ascii="Helvetica Neue" w:hAnsi="Helvetica Neue" w:eastAsia="Helvetica Neue"/>
          <w:b w:val="0"/>
          <w:color w:val="233447"/>
          <w:sz w:val="18"/>
        </w:rPr>
        <w:t>Authority update: call /session/event with deterministic identity and expected journey version; apply the returned phase, question, support, mastery, and route without local inference.</w:t>
      </w:r>
    </w:p>
    <w:p>
      <w:pPr>
        <w:spacing w:after="80" w:line="259" w:lineRule="auto"/>
        <w:ind w:left="403" w:hanging="259"/>
      </w:pPr>
      <w:r>
        <w:rPr>
          <w:rFonts w:ascii="Helvetica Neue" w:hAnsi="Helvetica Neue" w:eastAsia="Helvetica Neue"/>
          <w:b w:val="0"/>
          <w:color w:val="233447"/>
          <w:sz w:val="18"/>
        </w:rPr>
        <w:t xml:space="preserve">7.  </w:t>
      </w:r>
      <w:r>
        <w:rPr>
          <w:rFonts w:ascii="Helvetica Neue" w:hAnsi="Helvetica Neue" w:eastAsia="Helvetica Neue"/>
          <w:b w:val="0"/>
          <w:color w:val="233447"/>
          <w:sz w:val="18"/>
        </w:rPr>
        <w:t>Tutor composition: select one support unit, produce short text/voice, and translate one semantic canvas plan when grounded and safe.</w:t>
      </w:r>
    </w:p>
    <w:p>
      <w:pPr>
        <w:spacing w:after="80" w:line="259" w:lineRule="auto"/>
        <w:ind w:left="403" w:hanging="259"/>
      </w:pPr>
      <w:r>
        <w:rPr>
          <w:rFonts w:ascii="Helvetica Neue" w:hAnsi="Helvetica Neue" w:eastAsia="Helvetica Neue"/>
          <w:b w:val="0"/>
          <w:color w:val="233447"/>
          <w:sz w:val="18"/>
        </w:rPr>
        <w:t xml:space="preserve">8.  </w:t>
      </w:r>
      <w:r>
        <w:rPr>
          <w:rFonts w:ascii="Helvetica Neue" w:hAnsi="Helvetica Neue" w:eastAsia="Helvetica Neue"/>
          <w:b w:val="0"/>
          <w:color w:val="233447"/>
          <w:sz w:val="18"/>
        </w:rPr>
        <w:t>Safety and commit: validate all channels, atomically persist the objective/state/response, release the lock, and return the canonical tutor turn.</w:t>
      </w:r>
    </w:p>
    <w:p>
      <w:pPr>
        <w:pStyle w:val="Heading2"/>
        <w:keepNext/>
        <w:spacing w:before="120" w:after="60"/>
        <w:ind w:left="0" w:firstLine="0"/>
      </w:pPr>
      <w:r>
        <w:rPr>
          <w:rFonts w:ascii="Helvetica Neue" w:hAnsi="Helvetica Neue" w:eastAsia="Helvetica Neue"/>
          <w:b/>
          <w:color w:val="082A4A"/>
          <w:sz w:val="21"/>
        </w:rPr>
        <w:t>Direct support versus answer submission</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872"/>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Input intent</w:t>
            </w:r>
          </w:p>
        </w:tc>
        <w:tc>
          <w:tcPr>
            <w:tcW w:type="dxa" w:w="1944"/>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Attempt event</w:t>
            </w:r>
          </w:p>
        </w:tc>
        <w:tc>
          <w:tcPr>
            <w:tcW w:type="dxa" w:w="3240"/>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State effect</w:t>
            </w:r>
          </w:p>
        </w:tc>
        <w:tc>
          <w:tcPr>
            <w:tcW w:type="dxa" w:w="2592"/>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Returned unit</w:t>
            </w:r>
          </w:p>
        </w:tc>
      </w:tr>
      <w:tr>
        <w:trPr>
          <w:cantSplit/>
        </w:trPr>
        <w:tc>
          <w:tcPr>
            <w:tcW w:type="dxa" w:w="187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Answer submission</w:t>
            </w:r>
          </w:p>
        </w:tc>
        <w:tc>
          <w:tcPr>
            <w:tcW w:type="dxa" w:w="194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CORRECT or INCORRECT only when warranted</w:t>
            </w:r>
          </w:p>
        </w:tc>
        <w:tc>
          <w:tcPr>
            <w:tcW w:type="dxa" w:w="324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Updates component ledger; may advance authoritative journey</w:t>
            </w:r>
          </w:p>
        </w:tc>
        <w:tc>
          <w:tcPr>
            <w:tcW w:type="dxa" w:w="259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One focused tutor turn</w:t>
            </w:r>
          </w:p>
        </w:tc>
      </w:tr>
      <w:tr>
        <w:trPr>
          <w:cantSplit/>
        </w:trPr>
        <w:tc>
          <w:tcPr>
            <w:tcW w:type="dxa" w:w="187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Need Help</w:t>
            </w:r>
          </w:p>
        </w:tc>
        <w:tc>
          <w:tcPr>
            <w:tcW w:type="dxa" w:w="194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None</w:t>
            </w:r>
          </w:p>
        </w:tc>
        <w:tc>
          <w:tcPr>
            <w:tcW w:type="dxa" w:w="324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Escalates support; preserves answer-attempt count</w:t>
            </w:r>
          </w:p>
        </w:tc>
        <w:tc>
          <w:tcPr>
            <w:tcW w:type="dxa" w:w="259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One returned hint/cue/scaffold step</w:t>
            </w:r>
          </w:p>
        </w:tc>
      </w:tr>
      <w:tr>
        <w:trPr>
          <w:cantSplit/>
        </w:trPr>
        <w:tc>
          <w:tcPr>
            <w:tcW w:type="dxa" w:w="187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Explain Again</w:t>
            </w:r>
          </w:p>
        </w:tc>
        <w:tc>
          <w:tcPr>
            <w:tcW w:type="dxa" w:w="194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None</w:t>
            </w:r>
          </w:p>
        </w:tc>
        <w:tc>
          <w:tcPr>
            <w:tcW w:type="dxa" w:w="324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No mutation; replay/projection only</w:t>
            </w:r>
          </w:p>
        </w:tc>
        <w:tc>
          <w:tcPr>
            <w:tcW w:type="dxa" w:w="259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Same current support in simpler wording if safely regenerated</w:t>
            </w:r>
          </w:p>
        </w:tc>
      </w:tr>
      <w:tr>
        <w:trPr>
          <w:cantSplit/>
        </w:trPr>
        <w:tc>
          <w:tcPr>
            <w:tcW w:type="dxa" w:w="187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PARTIAL</w:t>
            </w:r>
          </w:p>
        </w:tc>
        <w:tc>
          <w:tcPr>
            <w:tcW w:type="dxa" w:w="194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None</w:t>
            </w:r>
          </w:p>
        </w:tc>
        <w:tc>
          <w:tcPr>
            <w:tcW w:type="dxa" w:w="324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Persists confirmed components and one unresolved objective</w:t>
            </w:r>
          </w:p>
        </w:tc>
        <w:tc>
          <w:tcPr>
            <w:tcW w:type="dxa" w:w="259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Affirm confirmed work; ask about one missing component</w:t>
            </w:r>
          </w:p>
        </w:tc>
      </w:tr>
      <w:tr>
        <w:trPr>
          <w:cantSplit/>
        </w:trPr>
        <w:tc>
          <w:tcPr>
            <w:tcW w:type="dxa" w:w="187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Third STUCK</w:t>
            </w:r>
          </w:p>
        </w:tc>
        <w:tc>
          <w:tcPr>
            <w:tcW w:type="dxa" w:w="194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MAXIMUM_GUIDED_SUPPORT_REQUIRED</w:t>
            </w:r>
          </w:p>
        </w:tc>
        <w:tc>
          <w:tcPr>
            <w:tcW w:type="dxa" w:w="324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Applies returned rescue/prerequisite route</w:t>
            </w:r>
          </w:p>
        </w:tc>
        <w:tc>
          <w:tcPr>
            <w:tcW w:type="dxa" w:w="259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One maximum-support unit plus a follow-up learner action</w:t>
            </w:r>
          </w:p>
        </w:tc>
      </w:tr>
    </w:tbl>
    <w:p>
      <w:pPr>
        <w:spacing w:after="0"/>
      </w:pPr>
    </w:p>
    <w:p>
      <w:pPr>
        <w:pStyle w:val="Heading1"/>
        <w:keepNext/>
        <w:pageBreakBefore/>
        <w:spacing w:before="160" w:after="100"/>
        <w:ind w:left="0" w:firstLine="0"/>
      </w:pPr>
      <w:r>
        <w:rPr>
          <w:rFonts w:ascii="Helvetica Neue" w:hAnsi="Helvetica Neue" w:eastAsia="Helvetica Neue"/>
          <w:b w:val="0"/>
          <w:color w:val="082A4A"/>
          <w:sz w:val="27"/>
        </w:rPr>
        <w:t>8.  API and Data Contracts</w:t>
      </w:r>
    </w:p>
    <w:p>
      <w:pPr>
        <w:pStyle w:val="Heading2"/>
        <w:keepNext/>
        <w:spacing w:before="120" w:after="60"/>
        <w:ind w:left="0" w:firstLine="0"/>
      </w:pPr>
      <w:r>
        <w:rPr>
          <w:rFonts w:ascii="Helvetica Neue" w:hAnsi="Helvetica Neue" w:eastAsia="Helvetica Neue"/>
          <w:b/>
          <w:color w:val="082A4A"/>
          <w:sz w:val="21"/>
        </w:rPr>
        <w:t>Proposed internal StudentTurn</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800"/>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Field</w:t>
            </w:r>
          </w:p>
        </w:tc>
        <w:tc>
          <w:tcPr>
            <w:tcW w:type="dxa" w:w="2232"/>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Type</w:t>
            </w:r>
          </w:p>
        </w:tc>
        <w:tc>
          <w:tcPr>
            <w:tcW w:type="dxa" w:w="1080"/>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Required</w:t>
            </w:r>
          </w:p>
        </w:tc>
        <w:tc>
          <w:tcPr>
            <w:tcW w:type="dxa" w:w="4536"/>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Meaning</w:t>
            </w:r>
          </w:p>
        </w:tc>
      </w:tr>
      <w:tr>
        <w:trPr>
          <w:cantSplit/>
        </w:trPr>
        <w:tc>
          <w:tcPr>
            <w:tcW w:type="dxa" w:w="180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session_id</w:t>
            </w:r>
          </w:p>
        </w:tc>
        <w:tc>
          <w:tcPr>
            <w:tcW w:type="dxa" w:w="223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string</w:t>
            </w:r>
          </w:p>
        </w:tc>
        <w:tc>
          <w:tcPr>
            <w:tcW w:type="dxa" w:w="108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Yes</w:t>
            </w:r>
          </w:p>
        </w:tc>
        <w:tc>
          <w:tcPr>
            <w:tcW w:type="dxa" w:w="4536"/>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Existing Nablix session identity.</w:t>
            </w:r>
          </w:p>
        </w:tc>
      </w:tr>
      <w:tr>
        <w:trPr>
          <w:cantSplit/>
        </w:trPr>
        <w:tc>
          <w:tcPr>
            <w:tcW w:type="dxa" w:w="180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turn_id</w:t>
            </w:r>
          </w:p>
        </w:tc>
        <w:tc>
          <w:tcPr>
            <w:tcW w:type="dxa" w:w="223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string</w:t>
            </w:r>
          </w:p>
        </w:tc>
        <w:tc>
          <w:tcPr>
            <w:tcW w:type="dxa" w:w="108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Yes</w:t>
            </w:r>
          </w:p>
        </w:tc>
        <w:tc>
          <w:tcPr>
            <w:tcW w:type="dxa" w:w="4536"/>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Stable client identity for dedupe and deterministic downstream identity.</w:t>
            </w:r>
          </w:p>
        </w:tc>
      </w:tr>
      <w:tr>
        <w:trPr>
          <w:cantSplit/>
        </w:trPr>
        <w:tc>
          <w:tcPr>
            <w:tcW w:type="dxa" w:w="180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channel</w:t>
            </w:r>
          </w:p>
        </w:tc>
        <w:tc>
          <w:tcPr>
            <w:tcW w:type="dxa" w:w="223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TEXT | VOICE | CANVAS</w:t>
            </w:r>
          </w:p>
        </w:tc>
        <w:tc>
          <w:tcPr>
            <w:tcW w:type="dxa" w:w="108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Yes</w:t>
            </w:r>
          </w:p>
        </w:tc>
        <w:tc>
          <w:tcPr>
            <w:tcW w:type="dxa" w:w="4536"/>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Normalization source; must not switch evaluator policy.</w:t>
            </w:r>
          </w:p>
        </w:tc>
      </w:tr>
      <w:tr>
        <w:trPr>
          <w:cantSplit/>
        </w:trPr>
        <w:tc>
          <w:tcPr>
            <w:tcW w:type="dxa" w:w="180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intent</w:t>
            </w:r>
          </w:p>
        </w:tc>
        <w:tc>
          <w:tcPr>
            <w:tcW w:type="dxa" w:w="223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ANSWER | SUPPORT | EXPLAIN_AGAIN</w:t>
            </w:r>
          </w:p>
        </w:tc>
        <w:tc>
          <w:tcPr>
            <w:tcW w:type="dxa" w:w="108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Yes</w:t>
            </w:r>
          </w:p>
        </w:tc>
        <w:tc>
          <w:tcPr>
            <w:tcW w:type="dxa" w:w="4536"/>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Single-purpose command; support is never an answer attempt.</w:t>
            </w:r>
          </w:p>
        </w:tc>
      </w:tr>
      <w:tr>
        <w:trPr>
          <w:cantSplit/>
        </w:trPr>
        <w:tc>
          <w:tcPr>
            <w:tcW w:type="dxa" w:w="180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evidence</w:t>
            </w:r>
          </w:p>
        </w:tc>
        <w:tc>
          <w:tcPr>
            <w:tcW w:type="dxa" w:w="223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typed union</w:t>
            </w:r>
          </w:p>
        </w:tc>
        <w:tc>
          <w:tcPr>
            <w:tcW w:type="dxa" w:w="108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Yes</w:t>
            </w:r>
          </w:p>
        </w:tc>
        <w:tc>
          <w:tcPr>
            <w:tcW w:type="dxa" w:w="4536"/>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Text/transcript or OCR regions plus canvas reference; raw snapshot stays out of logs.</w:t>
            </w:r>
          </w:p>
        </w:tc>
      </w:tr>
      <w:tr>
        <w:trPr>
          <w:cantSplit/>
        </w:trPr>
        <w:tc>
          <w:tcPr>
            <w:tcW w:type="dxa" w:w="180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journey_version</w:t>
            </w:r>
          </w:p>
        </w:tc>
        <w:tc>
          <w:tcPr>
            <w:tcW w:type="dxa" w:w="223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integer</w:t>
            </w:r>
          </w:p>
        </w:tc>
        <w:tc>
          <w:tcPr>
            <w:tcW w:type="dxa" w:w="108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Yes</w:t>
            </w:r>
          </w:p>
        </w:tc>
        <w:tc>
          <w:tcPr>
            <w:tcW w:type="dxa" w:w="4536"/>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Expected Student Model version used for optimistic ordering.</w:t>
            </w:r>
          </w:p>
        </w:tc>
      </w:tr>
    </w:tbl>
    <w:p>
      <w:pPr>
        <w:spacing w:after="0"/>
      </w:pPr>
    </w:p>
    <w:p>
      <w:pPr>
        <w:pStyle w:val="Heading2"/>
        <w:keepNext/>
        <w:spacing w:before="120" w:after="60"/>
        <w:ind w:left="0" w:firstLine="0"/>
      </w:pPr>
      <w:r>
        <w:rPr>
          <w:rFonts w:ascii="Helvetica Neue" w:hAnsi="Helvetica Neue" w:eastAsia="Helvetica Neue"/>
          <w:b/>
          <w:color w:val="082A4A"/>
          <w:sz w:val="21"/>
        </w:rPr>
        <w:t>Persisted Nablix turn outcome</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800"/>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Field group</w:t>
            </w:r>
          </w:p>
        </w:tc>
        <w:tc>
          <w:tcPr>
            <w:tcW w:type="dxa" w:w="5256"/>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Required content</w:t>
            </w:r>
          </w:p>
        </w:tc>
        <w:tc>
          <w:tcPr>
            <w:tcW w:type="dxa" w:w="2592"/>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Ownership</w:t>
            </w:r>
          </w:p>
        </w:tc>
      </w:tr>
      <w:tr>
        <w:trPr>
          <w:cantSplit/>
        </w:trPr>
        <w:tc>
          <w:tcPr>
            <w:tcW w:type="dxa" w:w="180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Evaluation</w:t>
            </w:r>
          </w:p>
        </w:tc>
        <w:tc>
          <w:tcPr>
            <w:tcW w:type="dxa" w:w="5256"/>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guided state, rubric fingerprint, confirmed/missing/contradicted component IDs, selected authored error</w:t>
            </w:r>
          </w:p>
        </w:tc>
        <w:tc>
          <w:tcPr>
            <w:tcW w:type="dxa" w:w="259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Nablix orchestration</w:t>
            </w:r>
          </w:p>
        </w:tc>
      </w:tr>
      <w:tr>
        <w:trPr>
          <w:cantSplit/>
        </w:trPr>
        <w:tc>
          <w:tcPr>
            <w:tcW w:type="dxa" w:w="180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Objective</w:t>
            </w:r>
          </w:p>
        </w:tc>
        <w:tc>
          <w:tcPr>
            <w:tcW w:type="dxa" w:w="5256"/>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current unresolved component or pending defence; consecutive stuck count; scaffold/support cursor</w:t>
            </w:r>
          </w:p>
        </w:tc>
        <w:tc>
          <w:tcPr>
            <w:tcW w:type="dxa" w:w="259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Nablix orchestration</w:t>
            </w:r>
          </w:p>
        </w:tc>
      </w:tr>
      <w:tr>
        <w:trPr>
          <w:cantSplit/>
        </w:trPr>
        <w:tc>
          <w:tcPr>
            <w:tcW w:type="dxa" w:w="180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Authority projection</w:t>
            </w:r>
          </w:p>
        </w:tc>
        <w:tc>
          <w:tcPr>
            <w:tcW w:type="dxa" w:w="5256"/>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returned phase, question, support, mastery, prerequisite/Phase 3 route, journey version</w:t>
            </w:r>
          </w:p>
        </w:tc>
        <w:tc>
          <w:tcPr>
            <w:tcW w:type="dxa" w:w="259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Student Model response</w:t>
            </w:r>
          </w:p>
        </w:tc>
      </w:tr>
      <w:tr>
        <w:trPr>
          <w:cantSplit/>
        </w:trPr>
        <w:tc>
          <w:tcPr>
            <w:tcW w:type="dxa" w:w="180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Response</w:t>
            </w:r>
          </w:p>
        </w:tc>
        <w:tc>
          <w:tcPr>
            <w:tcW w:type="dxa" w:w="5256"/>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short tutor text, voice text, optional CanvasDrawPayload, support used, safety result</w:t>
            </w:r>
          </w:p>
        </w:tc>
        <w:tc>
          <w:tcPr>
            <w:tcW w:type="dxa" w:w="259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Nablix composition</w:t>
            </w:r>
          </w:p>
        </w:tc>
      </w:tr>
      <w:tr>
        <w:trPr>
          <w:cantSplit/>
        </w:trPr>
        <w:tc>
          <w:tcPr>
            <w:tcW w:type="dxa" w:w="180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Replay/audit</w:t>
            </w:r>
          </w:p>
        </w:tc>
        <w:tc>
          <w:tcPr>
            <w:tcW w:type="dxa" w:w="5256"/>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session_id, turn_id, deterministic request/event IDs, status, timestamps, canvas reference</w:t>
            </w:r>
          </w:p>
        </w:tc>
        <w:tc>
          <w:tcPr>
            <w:tcW w:type="dxa" w:w="259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Nablix durability</w:t>
            </w:r>
          </w:p>
        </w:tc>
      </w:tr>
    </w:tbl>
    <w:p>
      <w:pPr>
        <w:spacing w:after="0"/>
      </w:pPr>
    </w:p>
    <w:p>
      <w:pPr>
        <w:spacing w:after="80" w:line="259" w:lineRule="auto"/>
      </w:pPr>
      <w:r>
        <w:rPr>
          <w:rFonts w:ascii="Helvetica Neue" w:hAnsi="Helvetica Neue" w:eastAsia="Helvetica Neue"/>
          <w:b/>
          <w:color w:val="233447"/>
          <w:sz w:val="19"/>
        </w:rPr>
        <w:t>Contract rule.</w:t>
      </w:r>
      <w:r>
        <w:rPr>
          <w:rFonts w:ascii="Helvetica Neue" w:hAnsi="Helvetica Neue" w:eastAsia="Helvetica Neue"/>
          <w:b w:val="0"/>
          <w:color w:val="233447"/>
          <w:sz w:val="19"/>
        </w:rPr>
        <w:t xml:space="preserve"> The Student Model remains the only authority for journey completion, current question, mastery, highest support, prerequisite routing, and Phase 3 recommendation. Nablix persists a projection for response continuity but never invents those values.</w:t>
      </w:r>
    </w:p>
    <w:p>
      <w:pPr>
        <w:pStyle w:val="Heading1"/>
        <w:keepNext/>
        <w:pageBreakBefore/>
        <w:spacing w:before="160" w:after="100"/>
        <w:ind w:left="0" w:firstLine="0"/>
      </w:pPr>
      <w:r>
        <w:rPr>
          <w:rFonts w:ascii="Helvetica Neue" w:hAnsi="Helvetica Neue" w:eastAsia="Helvetica Neue"/>
          <w:b w:val="0"/>
          <w:color w:val="082A4A"/>
          <w:sz w:val="27"/>
        </w:rPr>
        <w:t>9.  Consistency, Reliability, Security, and Operations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088"/>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Scenario</w:t>
            </w:r>
          </w:p>
        </w:tc>
        <w:tc>
          <w:tcPr>
            <w:tcW w:type="dxa" w:w="5688"/>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Expected behavior</w:t>
            </w:r>
          </w:p>
        </w:tc>
        <w:tc>
          <w:tcPr>
            <w:tcW w:type="dxa" w:w="1872"/>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Launch gate</w:t>
            </w:r>
          </w:p>
        </w:tc>
      </w:tr>
      <w:tr>
        <w:trPr>
          <w:cantSplit/>
        </w:trPr>
        <w:tc>
          <w:tcPr>
            <w:tcW w:type="dxa" w:w="2088"/>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Duplicate turn</w:t>
            </w:r>
          </w:p>
        </w:tc>
        <w:tc>
          <w:tcPr>
            <w:tcW w:type="dxa" w:w="5688"/>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Return the stored response for the same (session_id, turn_id); never rerun OCR/evaluation/event side effects.</w:t>
            </w:r>
          </w:p>
        </w:tc>
        <w:tc>
          <w:tcPr>
            <w:tcW w:type="dxa" w:w="187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Required</w:t>
            </w:r>
          </w:p>
        </w:tc>
      </w:tr>
      <w:tr>
        <w:trPr>
          <w:cantSplit/>
        </w:trPr>
        <w:tc>
          <w:tcPr>
            <w:tcW w:type="dxa" w:w="2088"/>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Concurrent turns</w:t>
            </w:r>
          </w:p>
        </w:tc>
        <w:tc>
          <w:tcPr>
            <w:tcW w:type="dxa" w:w="5688"/>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Serialize a session or reject stale expected versions; never apply two responses to the same journey version.</w:t>
            </w:r>
          </w:p>
        </w:tc>
        <w:tc>
          <w:tcPr>
            <w:tcW w:type="dxa" w:w="187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Required</w:t>
            </w:r>
          </w:p>
        </w:tc>
      </w:tr>
      <w:tr>
        <w:trPr>
          <w:cantSplit/>
        </w:trPr>
        <w:tc>
          <w:tcPr>
            <w:tcW w:type="dxa" w:w="2088"/>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Student Model timeout/error</w:t>
            </w:r>
          </w:p>
        </w:tc>
        <w:tc>
          <w:tcPr>
            <w:tcW w:type="dxa" w:w="5688"/>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Retry with structured warnings; after budget exhaustion, raise the last error with status/body/request context; no fallback.</w:t>
            </w:r>
          </w:p>
        </w:tc>
        <w:tc>
          <w:tcPr>
            <w:tcW w:type="dxa" w:w="187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Required</w:t>
            </w:r>
          </w:p>
        </w:tc>
      </w:tr>
      <w:tr>
        <w:trPr>
          <w:cantSplit/>
        </w:trPr>
        <w:tc>
          <w:tcPr>
            <w:tcW w:type="dxa" w:w="2088"/>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State-store write failure</w:t>
            </w:r>
          </w:p>
        </w:tc>
        <w:tc>
          <w:tcPr>
            <w:tcW w:type="dxa" w:w="5688"/>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Do not acknowledge success; retain enough request identity to safely replay after recovery.</w:t>
            </w:r>
          </w:p>
        </w:tc>
        <w:tc>
          <w:tcPr>
            <w:tcW w:type="dxa" w:w="187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Required</w:t>
            </w:r>
          </w:p>
        </w:tc>
      </w:tr>
      <w:tr>
        <w:trPr>
          <w:cantSplit/>
        </w:trPr>
        <w:tc>
          <w:tcPr>
            <w:tcW w:type="dxa" w:w="2088"/>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Unsafe tutor output</w:t>
            </w:r>
          </w:p>
        </w:tc>
        <w:tc>
          <w:tcPr>
            <w:tcW w:type="dxa" w:w="5688"/>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Reject before response/state commit; retry the evaluator only within a bounded policy, then raise explicitly.</w:t>
            </w:r>
          </w:p>
        </w:tc>
        <w:tc>
          <w:tcPr>
            <w:tcW w:type="dxa" w:w="187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Required</w:t>
            </w:r>
          </w:p>
        </w:tc>
      </w:tr>
      <w:tr>
        <w:trPr>
          <w:cantSplit/>
        </w:trPr>
        <w:tc>
          <w:tcPr>
            <w:tcW w:type="dxa" w:w="2088"/>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Process restart</w:t>
            </w:r>
          </w:p>
        </w:tc>
        <w:tc>
          <w:tcPr>
            <w:tcW w:type="dxa" w:w="5688"/>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Reconstruct current objective, support cursor, processed response, and authoritative projection from durable state.</w:t>
            </w:r>
          </w:p>
        </w:tc>
        <w:tc>
          <w:tcPr>
            <w:tcW w:type="dxa" w:w="187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Required for production</w:t>
            </w:r>
          </w:p>
        </w:tc>
      </w:tr>
    </w:tbl>
    <w:p>
      <w:pPr>
        <w:spacing w:after="0"/>
      </w:pPr>
    </w:p>
    <w:p>
      <w:pPr>
        <w:pStyle w:val="Heading2"/>
        <w:keepNext/>
        <w:spacing w:before="120" w:after="60"/>
        <w:ind w:left="0" w:firstLine="0"/>
      </w:pPr>
      <w:r>
        <w:rPr>
          <w:rFonts w:ascii="Helvetica Neue" w:hAnsi="Helvetica Neue" w:eastAsia="Helvetica Neue"/>
          <w:b/>
          <w:color w:val="082A4A"/>
          <w:sz w:val="21"/>
        </w:rPr>
        <w:t>Security and privacy</w:t>
      </w:r>
    </w:p>
    <w:p>
      <w:pPr>
        <w:spacing w:after="80" w:line="259" w:lineRule="auto"/>
        <w:ind w:left="346" w:hanging="230"/>
      </w:pPr>
      <w:r>
        <w:rPr>
          <w:rFonts w:ascii="Helvetica Neue" w:hAnsi="Helvetica Neue" w:eastAsia="Helvetica Neue"/>
          <w:b w:val="0"/>
          <w:color w:val="233447"/>
          <w:sz w:val="18"/>
        </w:rPr>
        <w:t xml:space="preserve">•  </w:t>
      </w:r>
      <w:r>
        <w:rPr>
          <w:rFonts w:ascii="Helvetica Neue" w:hAnsi="Helvetica Neue" w:eastAsia="Helvetica Neue"/>
          <w:b w:val="0"/>
          <w:color w:val="233447"/>
          <w:sz w:val="18"/>
        </w:rPr>
        <w:t>Keep bearer-token validation and authenticated Student Model calls; include event/request identifiers in structured logs but never tokens.</w:t>
      </w:r>
    </w:p>
    <w:p>
      <w:pPr>
        <w:spacing w:after="80" w:line="259" w:lineRule="auto"/>
        <w:ind w:left="346" w:hanging="230"/>
      </w:pPr>
      <w:r>
        <w:rPr>
          <w:rFonts w:ascii="Helvetica Neue" w:hAnsi="Helvetica Neue" w:eastAsia="Helvetica Neue"/>
          <w:b w:val="0"/>
          <w:color w:val="233447"/>
          <w:sz w:val="18"/>
        </w:rPr>
        <w:t xml:space="preserve">•  </w:t>
      </w:r>
      <w:r>
        <w:rPr>
          <w:rFonts w:ascii="Helvetica Neue" w:hAnsi="Helvetica Neue" w:eastAsia="Helvetica Neue"/>
          <w:b w:val="0"/>
          <w:color w:val="233447"/>
          <w:sz w:val="18"/>
        </w:rPr>
        <w:t>Do not log canvas data URLs, raw image bytes, full Student Model response bodies containing learner data, or unreduced voice audio.</w:t>
      </w:r>
    </w:p>
    <w:p>
      <w:pPr>
        <w:spacing w:after="80" w:line="259" w:lineRule="auto"/>
        <w:ind w:left="346" w:hanging="230"/>
      </w:pPr>
      <w:r>
        <w:rPr>
          <w:rFonts w:ascii="Helvetica Neue" w:hAnsi="Helvetica Neue" w:eastAsia="Helvetica Neue"/>
          <w:b w:val="0"/>
          <w:color w:val="233447"/>
          <w:sz w:val="18"/>
        </w:rPr>
        <w:t xml:space="preserve">•  </w:t>
      </w:r>
      <w:r>
        <w:rPr>
          <w:rFonts w:ascii="Helvetica Neue" w:hAnsi="Helvetica Neue" w:eastAsia="Helvetica Neue"/>
          <w:b w:val="0"/>
          <w:color w:val="233447"/>
          <w:sz w:val="18"/>
        </w:rPr>
        <w:t>Validate snapshot size/type and OCR/result shapes at trust boundaries; store object references instead of large binary payloads in turn rows.</w:t>
      </w:r>
    </w:p>
    <w:p>
      <w:pPr>
        <w:spacing w:after="80" w:line="259" w:lineRule="auto"/>
        <w:ind w:left="346" w:hanging="230"/>
      </w:pPr>
      <w:r>
        <w:rPr>
          <w:rFonts w:ascii="Helvetica Neue" w:hAnsi="Helvetica Neue" w:eastAsia="Helvetica Neue"/>
          <w:b w:val="0"/>
          <w:color w:val="233447"/>
          <w:sz w:val="18"/>
        </w:rPr>
        <w:t xml:space="preserve">•  </w:t>
      </w:r>
      <w:r>
        <w:rPr>
          <w:rFonts w:ascii="Helvetica Neue" w:hAnsi="Helvetica Neue" w:eastAsia="Helvetica Neue"/>
          <w:b w:val="0"/>
          <w:color w:val="233447"/>
          <w:sz w:val="18"/>
        </w:rPr>
        <w:t>Use bounded retries only for external calls that are safe under stable idempotency keys; otherwise raise explicitly.</w:t>
      </w:r>
    </w:p>
    <w:p>
      <w:pPr>
        <w:pStyle w:val="Heading2"/>
        <w:keepNext/>
        <w:spacing w:before="120" w:after="60"/>
        <w:ind w:left="0" w:firstLine="0"/>
      </w:pPr>
      <w:r>
        <w:rPr>
          <w:rFonts w:ascii="Helvetica Neue" w:hAnsi="Helvetica Neue" w:eastAsia="Helvetica Neue"/>
          <w:b/>
          <w:color w:val="082A4A"/>
          <w:sz w:val="21"/>
        </w:rPr>
        <w:t>Operational signals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520"/>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Signal</w:t>
            </w:r>
          </w:p>
        </w:tc>
        <w:tc>
          <w:tcPr>
            <w:tcW w:type="dxa" w:w="4824"/>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Why it matters</w:t>
            </w:r>
          </w:p>
        </w:tc>
        <w:tc>
          <w:tcPr>
            <w:tcW w:type="dxa" w:w="2304"/>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Launch criterion</w:t>
            </w:r>
          </w:p>
        </w:tc>
      </w:tr>
      <w:tr>
        <w:trPr>
          <w:cantSplit/>
        </w:trPr>
        <w:tc>
          <w:tcPr>
            <w:tcW w:type="dxa" w:w="252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Turn replay rate and duplicate mismatch</w:t>
            </w:r>
          </w:p>
        </w:tc>
        <w:tc>
          <w:tcPr>
            <w:tcW w:type="dxa" w:w="482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Proves stable idempotency and catches clients changing payloads under one turn_id.</w:t>
            </w:r>
          </w:p>
        </w:tc>
        <w:tc>
          <w:tcPr>
            <w:tcW w:type="dxa" w:w="230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Zero mismatched payloads</w:t>
            </w:r>
          </w:p>
        </w:tc>
      </w:tr>
      <w:tr>
        <w:trPr>
          <w:cantSplit/>
        </w:trPr>
        <w:tc>
          <w:tcPr>
            <w:tcW w:type="dxa" w:w="252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Journey-version conflict rate</w:t>
            </w:r>
          </w:p>
        </w:tc>
        <w:tc>
          <w:tcPr>
            <w:tcW w:type="dxa" w:w="482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Exposes concurrent or stale mutations.</w:t>
            </w:r>
          </w:p>
        </w:tc>
        <w:tc>
          <w:tcPr>
            <w:tcW w:type="dxa" w:w="230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Measured; no silent overwrite</w:t>
            </w:r>
          </w:p>
        </w:tc>
      </w:tr>
      <w:tr>
        <w:trPr>
          <w:cantSplit/>
        </w:trPr>
        <w:tc>
          <w:tcPr>
            <w:tcW w:type="dxa" w:w="252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PARTIAL-to-incorrect leakage</w:t>
            </w:r>
          </w:p>
        </w:tc>
        <w:tc>
          <w:tcPr>
            <w:tcW w:type="dxa" w:w="482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Detects partial turns incorrectly creating misconception evidence.</w:t>
            </w:r>
          </w:p>
        </w:tc>
        <w:tc>
          <w:tcPr>
            <w:tcW w:type="dxa" w:w="230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Zero</w:t>
            </w:r>
          </w:p>
        </w:tc>
      </w:tr>
      <w:tr>
        <w:trPr>
          <w:cantSplit/>
        </w:trPr>
        <w:tc>
          <w:tcPr>
            <w:tcW w:type="dxa" w:w="252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Ungrounded canvas mark rate</w:t>
            </w:r>
          </w:p>
        </w:tc>
        <w:tc>
          <w:tcPr>
            <w:tcW w:type="dxa" w:w="482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Protects against precise annotations without OCR geometry.</w:t>
            </w:r>
          </w:p>
        </w:tc>
        <w:tc>
          <w:tcPr>
            <w:tcW w:type="dxa" w:w="230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Zero</w:t>
            </w:r>
          </w:p>
        </w:tc>
      </w:tr>
      <w:tr>
        <w:trPr>
          <w:cantSplit/>
        </w:trPr>
        <w:tc>
          <w:tcPr>
            <w:tcW w:type="dxa" w:w="252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Answer-reveal rejection by channel</w:t>
            </w:r>
          </w:p>
        </w:tc>
        <w:tc>
          <w:tcPr>
            <w:tcW w:type="dxa" w:w="482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Shows safety guard coverage across text, voice, support, and canvas.</w:t>
            </w:r>
          </w:p>
        </w:tc>
        <w:tc>
          <w:tcPr>
            <w:tcW w:type="dxa" w:w="230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All channels sampled</w:t>
            </w:r>
          </w:p>
        </w:tc>
      </w:tr>
      <w:tr>
        <w:trPr>
          <w:cantSplit/>
        </w:trPr>
        <w:tc>
          <w:tcPr>
            <w:tcW w:type="dxa" w:w="252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Phase 2 configuration readiness</w:t>
            </w:r>
          </w:p>
        </w:tc>
        <w:tc>
          <w:tcPr>
            <w:tcW w:type="dxa" w:w="482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Confirms AI engine, content contracts, adapter, and durable store are production-ready.</w:t>
            </w:r>
          </w:p>
        </w:tc>
        <w:tc>
          <w:tcPr>
            <w:tcW w:type="dxa" w:w="230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Fail closed before traffic</w:t>
            </w:r>
          </w:p>
        </w:tc>
      </w:tr>
    </w:tbl>
    <w:p>
      <w:pPr>
        <w:spacing w:after="0"/>
      </w:pPr>
    </w:p>
    <w:p>
      <w:pPr>
        <w:pStyle w:val="Heading1"/>
        <w:keepNext/>
        <w:spacing w:before="160" w:after="100"/>
        <w:ind w:left="0" w:firstLine="0"/>
      </w:pPr>
      <w:r>
        <w:rPr>
          <w:rFonts w:ascii="Helvetica Neue" w:hAnsi="Helvetica Neue" w:eastAsia="Helvetica Neue"/>
          <w:b w:val="0"/>
          <w:color w:val="082A4A"/>
          <w:sz w:val="27"/>
        </w:rPr>
        <w:t>10.  Impractical Backend-Only Requirements and Alternatives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232"/>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Requirement</w:t>
            </w:r>
          </w:p>
        </w:tc>
        <w:tc>
          <w:tcPr>
            <w:tcW w:type="dxa" w:w="3672"/>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Why it is impractical in this scope</w:t>
            </w:r>
          </w:p>
        </w:tc>
        <w:tc>
          <w:tcPr>
            <w:tcW w:type="dxa" w:w="3744"/>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Backend-safe alternative</w:t>
            </w:r>
          </w:p>
        </w:tc>
      </w:tr>
      <w:tr>
        <w:trPr>
          <w:cantSplit/>
        </w:trPr>
        <w:tc>
          <w:tcPr>
            <w:tcW w:type="dxa" w:w="223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Interactive counter widget</w:t>
            </w:r>
          </w:p>
        </w:tc>
        <w:tc>
          <w:tcPr>
            <w:tcW w:type="dxa" w:w="367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It is a rendered input component.</w:t>
            </w:r>
          </w:p>
        </w:tc>
        <w:tc>
          <w:tcPr>
            <w:tcW w:type="dxa" w:w="374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Return authored counter examples or a semantic cue; UI implements interaction later.</w:t>
            </w:r>
          </w:p>
        </w:tc>
      </w:tr>
      <w:tr>
        <w:trPr>
          <w:cantSplit/>
        </w:trPr>
        <w:tc>
          <w:tcPr>
            <w:tcW w:type="dxa" w:w="223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Dim, pulse, move, lock, or progressive reveal</w:t>
            </w:r>
          </w:p>
        </w:tc>
        <w:tc>
          <w:tcPr>
            <w:tcW w:type="dxa" w:w="367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Current draw contract is static and renderer behavior is UI-owned.</w:t>
            </w:r>
          </w:p>
        </w:tc>
        <w:tc>
          <w:tcPr>
            <w:tcW w:type="dxa" w:w="374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Emit one semantic cue identifier or append-only plan; do not simulate animation server-side.</w:t>
            </w:r>
          </w:p>
        </w:tc>
      </w:tr>
      <w:tr>
        <w:trPr>
          <w:cantSplit/>
        </w:trPr>
        <w:tc>
          <w:tcPr>
            <w:tcW w:type="dxa" w:w="223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Exact sign/glyph highlighting from snapshot OCR</w:t>
            </w:r>
          </w:p>
        </w:tc>
        <w:tc>
          <w:tcPr>
            <w:tcW w:type="dxa" w:w="367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Current OCR geometry is line-level and cannot reliably isolate a symbol.</w:t>
            </w:r>
          </w:p>
        </w:tc>
        <w:tc>
          <w:tcPr>
            <w:tcW w:type="dxa" w:w="374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Use whole-line or operation-slot highlights until token geometry/vector ink exists.</w:t>
            </w:r>
          </w:p>
        </w:tc>
      </w:tr>
      <w:tr>
        <w:trPr>
          <w:cantSplit/>
        </w:trPr>
        <w:tc>
          <w:tcPr>
            <w:tcW w:type="dxa" w:w="223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Highlight, pause, then speak</w:t>
            </w:r>
          </w:p>
        </w:tc>
        <w:tc>
          <w:tcPr>
            <w:tcW w:type="dxa" w:w="367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Backend cannot know that the client rendered a mark before TTS starts.</w:t>
            </w:r>
          </w:p>
        </w:tc>
        <w:tc>
          <w:tcPr>
            <w:tcW w:type="dxa" w:w="374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Return ordered draw and speech intents now; add a future UI acknowledgement protocol only if the timing guarantee is required.</w:t>
            </w:r>
          </w:p>
        </w:tc>
      </w:tr>
      <w:tr>
        <w:trPr>
          <w:cantSplit/>
        </w:trPr>
        <w:tc>
          <w:tcPr>
            <w:tcW w:type="dxa" w:w="223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Editable learner ink and non-erasable tutor ink</w:t>
            </w:r>
          </w:p>
        </w:tc>
        <w:tc>
          <w:tcPr>
            <w:tcW w:type="dxa" w:w="367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Layer permissions and preservation live in the canvas renderer.</w:t>
            </w:r>
          </w:p>
        </w:tc>
        <w:tc>
          <w:tcPr>
            <w:tcW w:type="dxa" w:w="374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Store the original snapshot reference and emit append-only tutor marks; never issue deletion.</w:t>
            </w:r>
          </w:p>
        </w:tc>
      </w:tr>
      <w:tr>
        <w:trPr>
          <w:cantSplit/>
        </w:trPr>
        <w:tc>
          <w:tcPr>
            <w:tcW w:type="dxa" w:w="223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Missing Q-T01-002 mappings/scaffold</w:t>
            </w:r>
          </w:p>
        </w:tc>
        <w:tc>
          <w:tcPr>
            <w:tcW w:type="dxa" w:w="367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Those are curriculum/Student Model content, explicitly incomplete in the source document.</w:t>
            </w:r>
          </w:p>
        </w:tc>
        <w:tc>
          <w:tcPr>
            <w:tcW w:type="dxa" w:w="374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Fail Topic 1 readiness validation with the exact missing IDs; never invent runtime content or a fallback.</w:t>
            </w:r>
          </w:p>
        </w:tc>
      </w:tr>
      <w:tr>
        <w:trPr>
          <w:cantSplit/>
        </w:trPr>
        <w:tc>
          <w:tcPr>
            <w:tcW w:type="dxa" w:w="223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Exactly-once without stable turn IDs</w:t>
            </w:r>
          </w:p>
        </w:tc>
        <w:tc>
          <w:tcPr>
            <w:tcW w:type="dxa" w:w="367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Identical answers may be valid new attempts; hashing cannot distinguish intent.</w:t>
            </w:r>
          </w:p>
        </w:tc>
        <w:tc>
          <w:tcPr>
            <w:tcW w:type="dxa" w:w="374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Require stable text/voice/canvas turn_id before claiming idempotency.</w:t>
            </w:r>
          </w:p>
        </w:tc>
      </w:tr>
      <w:tr>
        <w:trPr>
          <w:cantSplit/>
        </w:trPr>
        <w:tc>
          <w:tcPr>
            <w:tcW w:type="dxa" w:w="223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Guaranteed prerequisite repair chosen locally</w:t>
            </w:r>
          </w:p>
        </w:tc>
        <w:tc>
          <w:tcPr>
            <w:tcW w:type="dxa" w:w="367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Nablix does not own mastery or prerequisite selection.</w:t>
            </w:r>
          </w:p>
        </w:tc>
        <w:tc>
          <w:tcPr>
            <w:tcW w:type="dxa" w:w="374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Emit MAXIMUM_GUIDED_SUPPORT_REQUIRED and apply the authenticated returned route.</w:t>
            </w:r>
          </w:p>
        </w:tc>
      </w:tr>
    </w:tbl>
    <w:p>
      <w:pPr>
        <w:spacing w:after="0"/>
      </w:pPr>
    </w:p>
    <w:p>
      <w:pPr>
        <w:pStyle w:val="Heading1"/>
        <w:keepNext/>
        <w:spacing w:before="160" w:after="100"/>
        <w:ind w:left="0" w:firstLine="0"/>
      </w:pPr>
      <w:r>
        <w:rPr>
          <w:rFonts w:ascii="Helvetica Neue" w:hAnsi="Helvetica Neue" w:eastAsia="Helvetica Neue"/>
          <w:b w:val="0"/>
          <w:color w:val="082A4A"/>
          <w:sz w:val="27"/>
        </w:rPr>
        <w:t>11.  Decisions to Confirm</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024"/>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Decision</w:t>
            </w:r>
          </w:p>
        </w:tc>
        <w:tc>
          <w:tcPr>
            <w:tcW w:type="dxa" w:w="3672"/>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Recommended answer</w:t>
            </w:r>
          </w:p>
        </w:tc>
        <w:tc>
          <w:tcPr>
            <w:tcW w:type="dxa" w:w="2952"/>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Why</w:t>
            </w:r>
          </w:p>
        </w:tc>
      </w:tr>
      <w:tr>
        <w:trPr>
          <w:cantSplit/>
        </w:trPr>
        <w:tc>
          <w:tcPr>
            <w:tcW w:type="dxa" w:w="302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Who supplies hints, scaffolds, parallel examples, and tutor-solved content?</w:t>
            </w:r>
          </w:p>
        </w:tc>
        <w:tc>
          <w:tcPr>
            <w:tcW w:type="dxa" w:w="367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Student Model support_to_serve is authoritative.</w:t>
            </w:r>
          </w:p>
        </w:tc>
        <w:tc>
          <w:tcPr>
            <w:tcW w:type="dxa" w:w="295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Avoids two content engines and keeps authored safety/sequence in one contract.</w:t>
            </w:r>
          </w:p>
        </w:tc>
      </w:tr>
      <w:tr>
        <w:trPr>
          <w:cantSplit/>
        </w:trPr>
        <w:tc>
          <w:tcPr>
            <w:tcW w:type="dxa" w:w="302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Which correct answers require a defence?</w:t>
            </w:r>
          </w:p>
        </w:tc>
        <w:tc>
          <w:tcPr>
            <w:tcW w:type="dxa" w:w="367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Only questions whose authored contract marks a defence component.</w:t>
            </w:r>
          </w:p>
        </w:tc>
        <w:tc>
          <w:tcPr>
            <w:tcW w:type="dxa" w:w="295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A generic LLM-invented defence must not block completion.</w:t>
            </w:r>
          </w:p>
        </w:tc>
      </w:tr>
      <w:tr>
        <w:trPr>
          <w:cantSplit/>
        </w:trPr>
        <w:tc>
          <w:tcPr>
            <w:tcW w:type="dxa" w:w="302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Who owns stable answer-component IDs?</w:t>
            </w:r>
          </w:p>
        </w:tc>
        <w:tc>
          <w:tcPr>
            <w:tcW w:type="dxa" w:w="367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Student Model content eventually; persist the existing deterministic generated rubric until then.</w:t>
            </w:r>
          </w:p>
        </w:tc>
        <w:tc>
          <w:tcPr>
            <w:tcW w:type="dxa" w:w="295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Keeps Nablix orchestration stable without hardcoding curriculum.</w:t>
            </w:r>
          </w:p>
        </w:tc>
      </w:tr>
      <w:tr>
        <w:trPr>
          <w:cantSplit/>
        </w:trPr>
        <w:tc>
          <w:tcPr>
            <w:tcW w:type="dxa" w:w="302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What persistence technology should be used?</w:t>
            </w:r>
          </w:p>
        </w:tc>
        <w:tc>
          <w:tcPr>
            <w:tcW w:type="dxa" w:w="367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SQLite WAL for one persistent VM; Postgres plus object storage for multi-instance/serverless.</w:t>
            </w:r>
          </w:p>
        </w:tc>
        <w:tc>
          <w:tcPr>
            <w:tcW w:type="dxa" w:w="295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The deployment topology changes the correctness boundary.</w:t>
            </w:r>
          </w:p>
        </w:tc>
      </w:tr>
      <w:tr>
        <w:trPr>
          <w:cantSplit/>
        </w:trPr>
        <w:tc>
          <w:tcPr>
            <w:tcW w:type="dxa" w:w="302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When may a correction appear on canvas?</w:t>
            </w:r>
          </w:p>
        </w:tc>
        <w:tc>
          <w:tcPr>
            <w:tcW w:type="dxa" w:w="367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Only after the learner supplied it or the returned route is tutor-solved.</w:t>
            </w:r>
          </w:p>
        </w:tc>
        <w:tc>
          <w:tcPr>
            <w:tcW w:type="dxa" w:w="295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Resolves the source conflict between correction display and no-answer-reveal.</w:t>
            </w:r>
          </w:p>
        </w:tc>
      </w:tr>
      <w:tr>
        <w:trPr>
          <w:cantSplit/>
        </w:trPr>
        <w:tc>
          <w:tcPr>
            <w:tcW w:type="dxa" w:w="302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Should Topic 1 start with missing Q-T01-002 content?</w:t>
            </w:r>
          </w:p>
        </w:tc>
        <w:tc>
          <w:tcPr>
            <w:tcW w:type="dxa" w:w="367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No; fail readiness explicitly.</w:t>
            </w:r>
          </w:p>
        </w:tc>
        <w:tc>
          <w:tcPr>
            <w:tcW w:type="dxa" w:w="295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A fallback would hide an upstream release blocker and create unowned curriculum.</w:t>
            </w:r>
          </w:p>
        </w:tc>
      </w:tr>
    </w:tbl>
    <w:p>
      <w:pPr>
        <w:spacing w:after="0"/>
      </w:pPr>
    </w:p>
    <w:p>
      <w:pPr>
        <w:spacing w:after="80" w:line="259" w:lineRule="auto"/>
      </w:pPr>
      <w:r>
        <w:rPr>
          <w:rFonts w:ascii="Helvetica Neue" w:hAnsi="Helvetica Neue" w:eastAsia="Helvetica Neue"/>
          <w:b/>
          <w:color w:val="233447"/>
          <w:sz w:val="19"/>
        </w:rPr>
        <w:t>Hard external gates.</w:t>
      </w:r>
      <w:r>
        <w:rPr>
          <w:rFonts w:ascii="Helvetica Neue" w:hAnsi="Helvetica Neue" w:eastAsia="Helvetica Neue"/>
          <w:b w:val="0"/>
          <w:color w:val="233447"/>
          <w:sz w:val="19"/>
        </w:rPr>
        <w:t xml:space="preserve"> Before implementation is called complete, confirm stable client turn IDs for text and standalone canvas, the deployment topology, and one live authenticated Student Model trace for STUCK 1 → 2 → 3 and Topic 1 support content.</w:t>
      </w:r>
    </w:p>
    <w:p>
      <w:pPr>
        <w:pStyle w:val="Heading1"/>
        <w:keepNext/>
        <w:spacing w:before="160" w:after="100"/>
        <w:ind w:left="0" w:firstLine="0"/>
      </w:pPr>
      <w:r>
        <w:rPr>
          <w:rFonts w:ascii="Helvetica Neue" w:hAnsi="Helvetica Neue" w:eastAsia="Helvetica Neue"/>
          <w:b w:val="0"/>
          <w:color w:val="082A4A"/>
          <w:sz w:val="27"/>
        </w:rPr>
        <w:t>12.  Delivery Sequence and Verification</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656"/>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Milestone</w:t>
            </w:r>
          </w:p>
        </w:tc>
        <w:tc>
          <w:tcPr>
            <w:tcW w:type="dxa" w:w="4392"/>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Deliverable</w:t>
            </w:r>
          </w:p>
        </w:tc>
        <w:tc>
          <w:tcPr>
            <w:tcW w:type="dxa" w:w="3600"/>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Exit criteria</w:t>
            </w:r>
          </w:p>
        </w:tc>
      </w:tr>
      <w:tr>
        <w:trPr>
          <w:cantSplit/>
        </w:trPr>
        <w:tc>
          <w:tcPr>
            <w:tcW w:type="dxa" w:w="1656"/>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M1 — unify</w:t>
            </w:r>
          </w:p>
        </w:tc>
        <w:tc>
          <w:tcPr>
            <w:tcW w:type="dxa" w:w="439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Shared coordinator, required turn_id, canvas lock/dedupe, one atomic local state transition</w:t>
            </w:r>
          </w:p>
        </w:tc>
        <w:tc>
          <w:tcPr>
            <w:tcW w:type="dxa" w:w="360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Equivalent partial and wrong flows through text, canvas, and voice+canvas; no duplicate local/event effects</w:t>
            </w:r>
          </w:p>
        </w:tc>
      </w:tr>
      <w:tr>
        <w:trPr>
          <w:cantSplit/>
        </w:trPr>
        <w:tc>
          <w:tcPr>
            <w:tcW w:type="dxa" w:w="1656"/>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M2 — complete Phase 2 semantics</w:t>
            </w:r>
          </w:p>
        </w:tc>
        <w:tc>
          <w:tcPr>
            <w:tcW w:type="dxa" w:w="439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Component ledger, authored defence, direct support, third-STUCK maximum support, rescue/follow-up, graded canvas plan propagation</w:t>
            </w:r>
          </w:p>
        </w:tc>
        <w:tc>
          <w:tcPr>
            <w:tcW w:type="dxa" w:w="360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One integration flow for Q-T01-001, Q-T01-002, and Q-T01-006 plus a canvas Q-T01-006 flow</w:t>
            </w:r>
          </w:p>
        </w:tc>
      </w:tr>
      <w:tr>
        <w:trPr>
          <w:cantSplit/>
        </w:trPr>
        <w:tc>
          <w:tcPr>
            <w:tcW w:type="dxa" w:w="1656"/>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M3 — fail closed</w:t>
            </w:r>
          </w:p>
        </w:tc>
        <w:tc>
          <w:tcPr>
            <w:tcW w:type="dxa" w:w="439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Topic 1 readiness validation, production AI configuration gate, full cross-channel output guard</w:t>
            </w:r>
          </w:p>
        </w:tc>
        <w:tc>
          <w:tcPr>
            <w:tcW w:type="dxa" w:w="3600"/>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Missing content and unsafe output fail before state mutation; no legacy/RAG fallback</w:t>
            </w:r>
          </w:p>
        </w:tc>
      </w:tr>
      <w:tr>
        <w:trPr>
          <w:cantSplit/>
        </w:trPr>
        <w:tc>
          <w:tcPr>
            <w:tcW w:type="dxa" w:w="1656"/>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M4 — durability and live proof</w:t>
            </w:r>
          </w:p>
        </w:tc>
        <w:tc>
          <w:tcPr>
            <w:tcW w:type="dxa" w:w="439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Concrete durable store, restart/replay check, authenticated Student Model contract trace</w:t>
            </w:r>
          </w:p>
        </w:tc>
        <w:tc>
          <w:tcPr>
            <w:tcW w:type="dxa" w:w="3600"/>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Same response after restart/replay; STUCK 1→2→3 route and guided completion verified against the live contract</w:t>
            </w:r>
          </w:p>
        </w:tc>
      </w:tr>
    </w:tbl>
    <w:p>
      <w:pPr>
        <w:spacing w:after="0"/>
      </w:pPr>
    </w:p>
    <w:p>
      <w:pPr>
        <w:pStyle w:val="Heading2"/>
        <w:keepNext/>
        <w:spacing w:before="120" w:after="60"/>
        <w:ind w:left="0" w:firstLine="0"/>
      </w:pPr>
      <w:r>
        <w:rPr>
          <w:rFonts w:ascii="Helvetica Neue" w:hAnsi="Helvetica Neue" w:eastAsia="Helvetica Neue"/>
          <w:b/>
          <w:color w:val="082A4A"/>
          <w:sz w:val="21"/>
        </w:rPr>
        <w:t>Minimum checks</w:t>
      </w:r>
    </w:p>
    <w:p>
      <w:pPr>
        <w:spacing w:after="80" w:line="259" w:lineRule="auto"/>
        <w:ind w:left="346" w:hanging="230"/>
      </w:pPr>
      <w:r>
        <w:rPr>
          <w:rFonts w:ascii="Helvetica Neue" w:hAnsi="Helvetica Neue" w:eastAsia="Helvetica Neue"/>
          <w:b w:val="0"/>
          <w:color w:val="233447"/>
          <w:sz w:val="18"/>
        </w:rPr>
        <w:t xml:space="preserve">•  </w:t>
      </w:r>
      <w:r>
        <w:rPr>
          <w:rFonts w:ascii="Helvetica Neue" w:hAnsi="Helvetica Neue" w:eastAsia="Helvetica Neue"/>
          <w:b w:val="0"/>
          <w:color w:val="233447"/>
          <w:sz w:val="18"/>
        </w:rPr>
        <w:t>Prefer integration/smoke checks at the shared seam; do not add broad unit suites or mocks solely for coverage.</w:t>
      </w:r>
    </w:p>
    <w:p>
      <w:pPr>
        <w:spacing w:after="80" w:line="259" w:lineRule="auto"/>
        <w:ind w:left="346" w:hanging="230"/>
      </w:pPr>
      <w:r>
        <w:rPr>
          <w:rFonts w:ascii="Helvetica Neue" w:hAnsi="Helvetica Neue" w:eastAsia="Helvetica Neue"/>
          <w:b w:val="0"/>
          <w:color w:val="233447"/>
          <w:sz w:val="18"/>
        </w:rPr>
        <w:t xml:space="preserve">•  </w:t>
      </w:r>
      <w:r>
        <w:rPr>
          <w:rFonts w:ascii="Helvetica Neue" w:hAnsi="Helvetica Neue" w:eastAsia="Helvetica Neue"/>
          <w:b w:val="0"/>
          <w:color w:val="233447"/>
          <w:sz w:val="18"/>
        </w:rPr>
        <w:t>Run each Topic 1 question through Schema 3.0-shaped responses, including PARTIAL preservation, authored error selection, defence, and support escalation.</w:t>
      </w:r>
    </w:p>
    <w:p>
      <w:pPr>
        <w:spacing w:after="80" w:line="259" w:lineRule="auto"/>
        <w:ind w:left="346" w:hanging="230"/>
      </w:pPr>
      <w:r>
        <w:rPr>
          <w:rFonts w:ascii="Helvetica Neue" w:hAnsi="Helvetica Neue" w:eastAsia="Helvetica Neue"/>
          <w:b w:val="0"/>
          <w:color w:val="233447"/>
          <w:sz w:val="18"/>
        </w:rPr>
        <w:t xml:space="preserve">•  </w:t>
      </w:r>
      <w:r>
        <w:rPr>
          <w:rFonts w:ascii="Helvetica Neue" w:hAnsi="Helvetica Neue" w:eastAsia="Helvetica Neue"/>
          <w:b w:val="0"/>
          <w:color w:val="233447"/>
          <w:sz w:val="18"/>
        </w:rPr>
        <w:t>Run one canvas flow that proves OCR-grounded marking, no answer reveal, shared state commit, and duplicate replay.</w:t>
      </w:r>
    </w:p>
    <w:p>
      <w:pPr>
        <w:spacing w:after="80" w:line="259" w:lineRule="auto"/>
        <w:ind w:left="346" w:hanging="230"/>
      </w:pPr>
      <w:r>
        <w:rPr>
          <w:rFonts w:ascii="Helvetica Neue" w:hAnsi="Helvetica Neue" w:eastAsia="Helvetica Neue"/>
          <w:b w:val="0"/>
          <w:color w:val="233447"/>
          <w:sz w:val="18"/>
        </w:rPr>
        <w:t xml:space="preserve">•  </w:t>
      </w:r>
      <w:r>
        <w:rPr>
          <w:rFonts w:ascii="Helvetica Neue" w:hAnsi="Helvetica Neue" w:eastAsia="Helvetica Neue"/>
          <w:b w:val="0"/>
          <w:color w:val="233447"/>
          <w:sz w:val="18"/>
        </w:rPr>
        <w:t>Run one restart recovery and one authenticated live Student Model trace. Keep live verification separate from local mock-shaped checks.</w:t>
      </w:r>
    </w:p>
    <w:p>
      <w:pPr>
        <w:pStyle w:val="Heading2"/>
        <w:keepNext/>
        <w:spacing w:before="120" w:after="60"/>
        <w:ind w:left="0" w:firstLine="0"/>
      </w:pPr>
      <w:r>
        <w:rPr>
          <w:rFonts w:ascii="Helvetica Neue" w:hAnsi="Helvetica Neue" w:eastAsia="Helvetica Neue"/>
          <w:b/>
          <w:color w:val="082A4A"/>
          <w:sz w:val="21"/>
        </w:rPr>
        <w:t>Review evidence and limits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232"/>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Evidence</w:t>
            </w:r>
          </w:p>
        </w:tc>
        <w:tc>
          <w:tcPr>
            <w:tcW w:type="dxa" w:w="3384"/>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Result</w:t>
            </w:r>
          </w:p>
        </w:tc>
        <w:tc>
          <w:tcPr>
            <w:tcW w:type="dxa" w:w="4032"/>
            <w:shd w:fill="082A4A"/>
            <w:tcMar>
              <w:top w:w="90" w:type="dxa"/>
              <w:start w:w="90" w:type="dxa"/>
              <w:bottom w:w="90" w:type="dxa"/>
              <w:end w:w="90" w:type="dxa"/>
            </w:tcMar>
            <w:vAlign w:val="center"/>
          </w:tcPr>
          <w:p>
            <w:pPr>
              <w:spacing w:after="80" w:line="259" w:lineRule="auto"/>
            </w:pPr>
            <w:r>
              <w:rPr>
                <w:rFonts w:ascii="Helvetica Neue" w:hAnsi="Helvetica Neue" w:eastAsia="Helvetica Neue"/>
                <w:b/>
                <w:color w:val="FFFFFF"/>
                <w:sz w:val="16"/>
              </w:rPr>
              <w:t>Boundary</w:t>
            </w:r>
          </w:p>
        </w:tc>
      </w:tr>
      <w:tr>
        <w:trPr>
          <w:cantSplit/>
        </w:trPr>
        <w:tc>
          <w:tcPr>
            <w:tcW w:type="dxa" w:w="223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Source document</w:t>
            </w:r>
          </w:p>
        </w:tc>
        <w:tc>
          <w:tcPr>
            <w:tcW w:type="dxa" w:w="338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All 19 rendered pages reviewed</w:t>
            </w:r>
          </w:p>
        </w:tc>
        <w:tc>
          <w:tcPr>
            <w:tcW w:type="dxa" w:w="403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Requirements are interpreted for nablix-backend only.</w:t>
            </w:r>
          </w:p>
        </w:tc>
      </w:tr>
      <w:tr>
        <w:trPr>
          <w:cantSplit/>
        </w:trPr>
        <w:tc>
          <w:tcPr>
            <w:tcW w:type="dxa" w:w="223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Multi-agent source review</w:t>
            </w:r>
          </w:p>
        </w:tc>
        <w:tc>
          <w:tcPr>
            <w:tcW w:type="dxa" w:w="338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Three independent reviews: backend trace, requirement extraction, feasibility challenge</w:t>
            </w:r>
          </w:p>
        </w:tc>
        <w:tc>
          <w:tcPr>
            <w:tcW w:type="dxa" w:w="403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Current dirty worktree at the time of review; not a clean committed baseline.</w:t>
            </w:r>
          </w:p>
        </w:tc>
      </w:tr>
      <w:tr>
        <w:trPr>
          <w:cantSplit/>
        </w:trPr>
        <w:tc>
          <w:tcPr>
            <w:tcW w:type="dxa" w:w="223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Focused local checks</w:t>
            </w:r>
          </w:p>
        </w:tc>
        <w:tc>
          <w:tcPr>
            <w:tcW w:type="dxa" w:w="3384"/>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91 focused tests passed in the primary review; reviewers also reported 82 and 59 targeted passes on their selected subsets</w:t>
            </w:r>
          </w:p>
        </w:tc>
        <w:tc>
          <w:tcPr>
            <w:tcW w:type="dxa" w:w="4032"/>
            <w:shd w:fill="E9F0F5"/>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No live OpenAI, OCR provider, or authenticated Student Model request was exercised.</w:t>
            </w:r>
          </w:p>
        </w:tc>
      </w:tr>
      <w:tr>
        <w:trPr>
          <w:cantSplit/>
        </w:trPr>
        <w:tc>
          <w:tcPr>
            <w:tcW w:type="dxa" w:w="223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Topic coverage</w:t>
            </w:r>
          </w:p>
        </w:tc>
        <w:tc>
          <w:tcPr>
            <w:tcW w:type="dxa" w:w="3384"/>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Generic Guided Learning behavior exists</w:t>
            </w:r>
          </w:p>
        </w:tc>
        <w:tc>
          <w:tcPr>
            <w:tcW w:type="dxa" w:w="4032"/>
            <w:shd w:fill="F5F8FA"/>
            <w:tcMar>
              <w:top w:w="90" w:type="dxa"/>
              <w:start w:w="90" w:type="dxa"/>
              <w:bottom w:w="90" w:type="dxa"/>
              <w:end w:w="90" w:type="dxa"/>
            </w:tcMar>
            <w:vAlign w:val="center"/>
          </w:tcPr>
          <w:p>
            <w:pPr>
              <w:spacing w:after="80" w:line="259" w:lineRule="auto"/>
            </w:pPr>
            <w:r>
              <w:rPr>
                <w:rFonts w:ascii="Helvetica Neue" w:hAnsi="Helvetica Neue" w:eastAsia="Helvetica Neue"/>
                <w:b w:val="0"/>
                <w:color w:val="233447"/>
                <w:sz w:val="16"/>
              </w:rPr>
              <w:t>The new contract matrix targets Q-T02; Topic 1 end-to-end readiness is not yet proven.</w:t>
            </w:r>
          </w:p>
        </w:tc>
      </w:tr>
    </w:tbl>
    <w:p>
      <w:pPr>
        <w:spacing w:after="0"/>
      </w:pPr>
    </w:p>
    <w:p>
      <w:pPr>
        <w:pStyle w:val="Heading2"/>
        <w:keepNext/>
        <w:spacing w:before="120" w:after="60"/>
        <w:ind w:left="0" w:firstLine="0"/>
      </w:pPr>
      <w:r>
        <w:rPr>
          <w:rFonts w:ascii="Helvetica Neue" w:hAnsi="Helvetica Neue" w:eastAsia="Helvetica Neue"/>
          <w:b/>
          <w:color w:val="082A4A"/>
          <w:sz w:val="21"/>
        </w:rPr>
        <w:t>Source-code anchors</w:t>
      </w:r>
    </w:p>
    <w:p>
      <w:pPr>
        <w:spacing w:after="80" w:line="259" w:lineRule="auto"/>
      </w:pPr>
      <w:r>
        <w:rPr>
          <w:rFonts w:ascii="Helvetica Neue" w:hAnsi="Helvetica Neue" w:eastAsia="Helvetica Neue"/>
          <w:b w:val="0"/>
          <w:color w:val="233447"/>
          <w:sz w:val="19"/>
        </w:rPr>
        <w:t>Authoritative event seam: app/services/interaction_service.py:115–365. Guided rubric/objective and evaluation: app/ai_engine/classifier.py:413–997 and app/models/guided_learning.py:6–63. Canvas path: app/services/canvas_service.py:83–259. Canvas marks: app/services/canvas_annotations.py:17–53. Student Model adapter: app/adapters/student_model.py:46–115. Process-local state boundary: app/services/session_service.py:59 onward. Voice+canvas stream: app/services/voice/streaming/streaming_server.py:631–823.</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80" w:before="0" w:line="259" w:lineRule="auto"/>
      <w:ind w:left="0" w:right="0" w:firstLine="0"/>
      <w:jc w:val="left"/>
      <w:rPr>
        <w:rFonts w:ascii="Arial" w:cs="Arial" w:eastAsia="Arial" w:hAnsi="Arial"/>
        <w:b w:val="0"/>
        <w:bCs w:val="0"/>
        <w:i w:val="0"/>
        <w:iCs w:val="0"/>
        <w:smallCaps w:val="0"/>
        <w:strike w:val="0"/>
        <w:color w:val="5b7085"/>
        <w:sz w:val="20"/>
        <w:szCs w:val="20"/>
        <w:u w:val="none"/>
        <w:shd w:fill="auto" w:val="clear"/>
        <w:vertAlign w:val="baseline"/>
      </w:rPr>
    </w:pPr>
    <w:r>
      <w:rPr>
        <w:rFonts w:ascii="Helvetica Neue" w:hAnsi="Helvetica Neue" w:eastAsia="Helvetica Neue"/>
        <w:b w:val="0"/>
        <w:color w:val="5B7085"/>
        <w:sz w:val="16"/>
      </w:rPr>
    </w:r>
    <w:r>
      <w:rPr>
        <w:rFonts w:ascii="Helvetica Neue" w:hAnsi="Helvetica Neue" w:eastAsia="Helvetica Neue"/>
        <w:b w:val="0"/>
        <w:color w:val="5B7085"/>
        <w:sz w:val="16"/>
      </w:rPr>
      <w:t>Nablix | System Design RFC</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