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pPr>
      <w:r>
        <w:drawing>
          <wp:inline xmlns:a="http://schemas.openxmlformats.org/drawingml/2006/main" xmlns:pic="http://schemas.openxmlformats.org/drawingml/2006/picture">
            <wp:extent cx="1737360" cy="770954"/>
            <wp:docPr id="1" name="Picture 1" title="iProduce Africa logo" descr="iProduce Africa Agribusiness Hub logo"/>
            <wp:cNvGraphicFramePr>
              <a:graphicFrameLocks noChangeAspect="1"/>
            </wp:cNvGraphicFramePr>
            <a:graphic>
              <a:graphicData uri="http://schemas.openxmlformats.org/drawingml/2006/picture">
                <pic:pic>
                  <pic:nvPicPr>
                    <pic:cNvPr id="0" name="email-logo.png"/>
                    <pic:cNvPicPr/>
                  </pic:nvPicPr>
                  <pic:blipFill>
                    <a:blip r:embed="rId13"/>
                    <a:stretch>
                      <a:fillRect/>
                    </a:stretch>
                  </pic:blipFill>
                  <pic:spPr>
                    <a:xfrm>
                      <a:off x="0" y="0"/>
                      <a:ext cx="1737360" cy="770954"/>
                    </a:xfrm>
                    <a:prstGeom prst="rect"/>
                  </pic:spPr>
                </pic:pic>
              </a:graphicData>
            </a:graphic>
          </wp:inline>
        </w:drawing>
      </w:r>
    </w:p>
    <w:p>
      <w:pPr>
        <w:spacing w:before="40" w:after="60"/>
      </w:pPr>
      <w:r>
        <w:rPr>
          <w:rFonts w:ascii="Calibri" w:hAnsi="Calibri"/>
          <w:b/>
          <w:color w:val="ED7A3B"/>
          <w:sz w:val="18"/>
        </w:rPr>
        <w:t>CONTENT EDITOR GUIDE</w:t>
      </w:r>
    </w:p>
    <w:p>
      <w:pPr>
        <w:spacing w:before="0" w:after="100"/>
      </w:pPr>
      <w:r>
        <w:rPr>
          <w:rFonts w:ascii="Calibri" w:hAnsi="Calibri"/>
          <w:b/>
          <w:color w:val="16230F"/>
          <w:sz w:val="52"/>
        </w:rPr>
        <w:t>Managing the iProduce Africa Website</w:t>
      </w:r>
    </w:p>
    <w:p>
      <w:pPr>
        <w:spacing w:before="0" w:after="200"/>
      </w:pPr>
      <w:r>
        <w:rPr>
          <w:rFonts w:ascii="Calibri" w:hAnsi="Calibri"/>
          <w:color w:val="5C6655"/>
          <w:sz w:val="25"/>
        </w:rPr>
        <w:t>A practical reference for authorised content editors using the Sanity workspace.</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2700"/>
        <w:gridCol w:w="3300"/>
        <w:gridCol w:w="3360"/>
      </w:tblGrid>
      <w:tr>
        <w:tc>
          <w:tcPr>
            <w:tcW w:type="dxa" w:w="2700"/>
            <w:tcMar>
              <w:top w:w="80" w:type="dxa"/>
              <w:start w:w="120" w:type="dxa"/>
              <w:bottom w:w="80" w:type="dxa"/>
              <w:end w:w="120" w:type="dxa"/>
            </w:tcMar>
            <w:vAlign w:val="center"/>
            <w:shd w:fill="FDF4EE"/>
          </w:tcPr>
          <w:p>
            <w:pPr>
              <w:spacing w:before="40" w:after="20"/>
            </w:pPr>
            <w:r>
              <w:rPr>
                <w:rFonts w:ascii="Calibri" w:hAnsi="Calibri"/>
                <w:b/>
                <w:color w:val="828E7B"/>
                <w:sz w:val="15"/>
              </w:rPr>
              <w:t>STATUS</w:t>
              <w:br/>
            </w:r>
            <w:r>
              <w:rPr>
                <w:rFonts w:ascii="Calibri" w:hAnsi="Calibri"/>
                <w:b/>
                <w:color w:val="10140E"/>
                <w:sz w:val="19"/>
              </w:rPr>
              <w:t>DRAFT FOR REVIEW</w:t>
            </w:r>
          </w:p>
        </w:tc>
        <w:tc>
          <w:tcPr>
            <w:tcW w:type="dxa" w:w="3300"/>
            <w:tcMar>
              <w:top w:w="80" w:type="dxa"/>
              <w:start w:w="120" w:type="dxa"/>
              <w:bottom w:w="80" w:type="dxa"/>
              <w:end w:w="120" w:type="dxa"/>
            </w:tcMar>
            <w:vAlign w:val="center"/>
            <w:shd w:fill="F4FAE9"/>
          </w:tcPr>
          <w:p>
            <w:pPr>
              <w:spacing w:before="40" w:after="20"/>
            </w:pPr>
            <w:r>
              <w:rPr>
                <w:rFonts w:ascii="Calibri" w:hAnsi="Calibri"/>
                <w:b/>
                <w:color w:val="828E7B"/>
                <w:sz w:val="15"/>
              </w:rPr>
              <w:t>PREPARED</w:t>
              <w:br/>
            </w:r>
            <w:r>
              <w:rPr>
                <w:rFonts w:ascii="Calibri" w:hAnsi="Calibri"/>
                <w:b/>
                <w:color w:val="10140E"/>
                <w:sz w:val="19"/>
              </w:rPr>
              <w:t>3 August 2026</w:t>
            </w:r>
          </w:p>
        </w:tc>
        <w:tc>
          <w:tcPr>
            <w:tcW w:type="dxa" w:w="3360"/>
            <w:tcMar>
              <w:top w:w="80" w:type="dxa"/>
              <w:start w:w="120" w:type="dxa"/>
              <w:bottom w:w="80" w:type="dxa"/>
              <w:end w:w="120" w:type="dxa"/>
            </w:tcMar>
            <w:vAlign w:val="center"/>
            <w:shd w:fill="F4FAE9"/>
          </w:tcPr>
          <w:p>
            <w:pPr>
              <w:spacing w:before="40" w:after="20"/>
            </w:pPr>
            <w:r>
              <w:rPr>
                <w:rFonts w:ascii="Calibri" w:hAnsi="Calibri"/>
                <w:b/>
                <w:color w:val="828E7B"/>
                <w:sz w:val="15"/>
              </w:rPr>
              <w:t>ISSUE</w:t>
              <w:br/>
            </w:r>
            <w:r>
              <w:rPr>
                <w:rFonts w:ascii="Calibri" w:hAnsi="Calibri"/>
                <w:b/>
                <w:color w:val="10140E"/>
                <w:sz w:val="19"/>
              </w:rPr>
              <w:t>Client review copy</w:t>
            </w:r>
          </w:p>
        </w:tc>
      </w:tr>
    </w:tbl>
    <w:p>
      <w:pPr>
        <w:spacing w:after="0"/>
      </w:pPr>
    </w:p>
    <w:tbl>
      <w:tblPr>
        <w:tblW w:type="dxa" w:w="9360"/>
        <w:jc w:val="left"/>
        <w:tblLayout w:type="fixed"/>
        <w:tblLook w:firstColumn="1" w:firstRow="1" w:lastColumn="0" w:lastRow="0" w:noHBand="0" w:noVBand="1" w:val="04A0"/>
        <w:tblInd w:w="120" w:type="dxa"/>
        <w:tblBorders>
          <w:top w:val="single" w:sz="5" w:space="0" w:color="DDE5DA"/>
          <w:left w:val="single" w:sz="5" w:space="0" w:color="DDE5DA"/>
          <w:bottom w:val="single" w:sz="5" w:space="0" w:color="DDE5DA"/>
          <w:right w:val="single" w:sz="5" w:space="0" w:color="DDE5DA"/>
        </w:tblBorders>
      </w:tblPr>
      <w:tblGrid>
        <w:gridCol w:w="9360"/>
      </w:tblGrid>
      <w:tr>
        <w:tc>
          <w:tcPr>
            <w:tcW w:type="dxa" w:w="9360"/>
            <w:tcMar>
              <w:top w:w="150" w:type="dxa"/>
              <w:start w:w="180" w:type="dxa"/>
              <w:bottom w:w="150" w:type="dxa"/>
              <w:end w:w="180" w:type="dxa"/>
            </w:tcMar>
            <w:vAlign w:val="center"/>
            <w:shd w:fill="F4FAE9"/>
          </w:tcPr>
          <w:p>
            <w:pPr>
              <w:spacing w:after="60"/>
            </w:pPr>
            <w:r>
              <w:rPr>
                <w:rFonts w:ascii="Calibri" w:hAnsi="Calibri"/>
                <w:b/>
                <w:color w:val="24361B"/>
                <w:sz w:val="16"/>
              </w:rPr>
              <w:t>THE GOLDEN RULE</w:t>
            </w:r>
          </w:p>
          <w:p>
            <w:pPr>
              <w:spacing w:after="0"/>
            </w:pPr>
            <w:r>
              <w:rPr>
                <w:rFonts w:ascii="Calibri" w:hAnsi="Calibri"/>
                <w:color w:val="10140E"/>
                <w:sz w:val="21"/>
              </w:rPr>
              <w:t>Your changes save automatically as a Draft. Visitors do not see them until you click Publish. After publishing, check the relevant public page.</w:t>
            </w:r>
          </w:p>
        </w:tc>
      </w:tr>
    </w:tbl>
    <w:p>
      <w:pPr>
        <w:spacing w:after="40"/>
      </w:pPr>
    </w:p>
    <w:p>
      <w:pPr>
        <w:pStyle w:val="Heading1"/>
        <w:keepNext/>
      </w:pPr>
      <w:r>
        <w:t>1. Getting into the CMS</w:t>
      </w:r>
    </w:p>
    <w:p>
      <w:pPr>
        <w:spacing w:after="80"/>
      </w:pPr>
      <w:r>
        <w:rPr>
          <w:rFonts w:ascii="Calibri" w:hAnsi="Calibri"/>
          <w:b/>
          <w:color w:val="24361B"/>
          <w:sz w:val="22"/>
        </w:rPr>
        <w:t xml:space="preserve">Open: </w:t>
      </w:r>
      <w:hyperlink r:id="rId14">
        <w:r>
          <w:rPr>
            <w:rFonts w:ascii="Calibri" w:hAnsi="Calibri"/>
            <w:color w:val="24361B"/>
            <w:u w:val="single"/>
            <w:sz w:val="22"/>
          </w:rPr>
          <w:t>iproduceafrica.com/admin</w:t>
        </w:r>
      </w:hyperlink>
    </w:p>
    <w:p>
      <w:pPr>
        <w:keepNext w:val="0"/>
        <w:numPr>
          <w:ilvl w:val="0"/>
          <w:numId w:val="10"/>
        </w:numPr>
      </w:pPr>
      <w:r>
        <w:rPr>
          <w:rFonts w:ascii="Calibri" w:hAnsi="Calibri"/>
          <w:color w:val="10140E"/>
          <w:sz w:val="22"/>
        </w:rPr>
        <w:t>Use the email or Google account that received the Sanity invitation.</w:t>
      </w:r>
    </w:p>
    <w:p>
      <w:pPr>
        <w:keepNext w:val="0"/>
        <w:numPr>
          <w:ilvl w:val="0"/>
          <w:numId w:val="10"/>
        </w:numPr>
      </w:pPr>
      <w:r>
        <w:rPr>
          <w:rFonts w:ascii="Calibri" w:hAnsi="Calibri"/>
          <w:color w:val="10140E"/>
          <w:sz w:val="22"/>
        </w:rPr>
        <w:t>Nothing needs to be installed; use a modern browser.</w:t>
      </w:r>
    </w:p>
    <w:p>
      <w:pPr>
        <w:keepNext w:val="0"/>
        <w:numPr>
          <w:ilvl w:val="0"/>
          <w:numId w:val="10"/>
        </w:numPr>
      </w:pPr>
      <w:r>
        <w:rPr>
          <w:rFonts w:ascii="Calibri" w:hAnsi="Calibri"/>
          <w:color w:val="10140E"/>
          <w:sz w:val="22"/>
        </w:rPr>
        <w:t>A long /admin/... address is a private editing link. It does not change the public website address and is not intended for Google search results.</w:t>
      </w:r>
    </w:p>
    <w:p>
      <w:r>
        <w:br w:type="page"/>
      </w:r>
    </w:p>
    <w:p>
      <w:pPr>
        <w:pStyle w:val="Heading1"/>
        <w:keepNext/>
      </w:pPr>
      <w:r>
        <w:t>2. Draft versus Publish</w:t>
      </w:r>
    </w:p>
    <w:p>
      <w:pPr>
        <w:keepNext w:val="0"/>
        <w:numPr>
          <w:ilvl w:val="0"/>
          <w:numId w:val="12"/>
        </w:numPr>
      </w:pPr>
      <w:r>
        <w:rPr>
          <w:rFonts w:ascii="Calibri" w:hAnsi="Calibri"/>
          <w:color w:val="10140E"/>
          <w:sz w:val="22"/>
        </w:rPr>
        <w:t>Open the item you want to change.</w:t>
      </w:r>
    </w:p>
    <w:p>
      <w:pPr>
        <w:keepNext w:val="0"/>
        <w:numPr>
          <w:ilvl w:val="0"/>
          <w:numId w:val="12"/>
        </w:numPr>
      </w:pPr>
      <w:r>
        <w:rPr>
          <w:rFonts w:ascii="Calibri" w:hAnsi="Calibri"/>
          <w:color w:val="10140E"/>
          <w:sz w:val="22"/>
        </w:rPr>
        <w:t>Make the edit. Sanity saves it automatically as a Draft.</w:t>
      </w:r>
    </w:p>
    <w:p>
      <w:pPr>
        <w:keepNext w:val="0"/>
        <w:numPr>
          <w:ilvl w:val="0"/>
          <w:numId w:val="12"/>
        </w:numPr>
      </w:pPr>
      <w:r>
        <w:rPr>
          <w:rFonts w:ascii="Calibri" w:hAnsi="Calibri"/>
          <w:color w:val="10140E"/>
          <w:sz w:val="22"/>
        </w:rPr>
        <w:t>Review the title, copy, links, dates, images, and alt text.</w:t>
      </w:r>
    </w:p>
    <w:p>
      <w:pPr>
        <w:keepNext w:val="0"/>
        <w:numPr>
          <w:ilvl w:val="0"/>
          <w:numId w:val="12"/>
        </w:numPr>
      </w:pPr>
      <w:r>
        <w:rPr>
          <w:rFonts w:ascii="Calibri" w:hAnsi="Calibri"/>
          <w:color w:val="10140E"/>
          <w:sz w:val="22"/>
        </w:rPr>
        <w:t>Click Publish only when the change is approved for the live website.</w:t>
      </w:r>
    </w:p>
    <w:p>
      <w:pPr>
        <w:keepNext w:val="0"/>
        <w:numPr>
          <w:ilvl w:val="0"/>
          <w:numId w:val="12"/>
        </w:numPr>
      </w:pPr>
      <w:r>
        <w:rPr>
          <w:rFonts w:ascii="Calibri" w:hAnsi="Calibri"/>
          <w:color w:val="10140E"/>
          <w:sz w:val="22"/>
        </w:rPr>
        <w:t>Open the public page and confirm the result.</w:t>
      </w:r>
    </w:p>
    <w:p>
      <w:pPr>
        <w:pStyle w:val="Heading1"/>
        <w:keepNext/>
      </w:pPr>
      <w:r>
        <w:t>3. The Studio map</w:t>
      </w:r>
    </w:p>
    <w:p>
      <w:pPr>
        <w:spacing w:after="120"/>
      </w:pPr>
      <w:r>
        <w:rPr>
          <w:rFonts w:ascii="Calibri" w:hAnsi="Calibri"/>
          <w:color w:val="10140E"/>
          <w:sz w:val="22"/>
        </w:rPr>
        <w:t>The left menu groups content by its purpose. Create records from the appropriate group so they appear in the correct place.</w:t>
      </w:r>
    </w:p>
    <w:tbl>
      <w:tblPr>
        <w:tblW w:type="dxa" w:w="9360"/>
        <w:jc w:val="left"/>
        <w:tblLayout w:type="fixed"/>
        <w:tblLook w:firstColumn="1" w:firstRow="1" w:lastColumn="0" w:lastRow="0" w:noHBand="0" w:noVBand="1" w:val="04A0"/>
        <w:tblInd w:w="120" w:type="dxa"/>
        <w:tblBorders>
          <w:top w:val="single" w:sz="5" w:space="0" w:color="DDE5DA"/>
          <w:left w:val="single" w:sz="5" w:space="0" w:color="DDE5DA"/>
          <w:bottom w:val="single" w:sz="5" w:space="0" w:color="DDE5DA"/>
          <w:right w:val="single" w:sz="5" w:space="0" w:color="DDE5DA"/>
          <w:insideH w:val="single" w:sz="5" w:space="0" w:color="DDE5DA"/>
          <w:insideV w:val="single" w:sz="5" w:space="0" w:color="DDE5DA"/>
        </w:tblBorders>
      </w:tblPr>
      <w:tblGrid>
        <w:gridCol w:w="2500"/>
        <w:gridCol w:w="6860"/>
      </w:tblGrid>
      <w:tr>
        <w:trPr>
          <w:tblHeader w:val="true"/>
        </w:trPr>
        <w:tc>
          <w:tcPr>
            <w:tcW w:type="dxa" w:w="2500"/>
            <w:tcMar>
              <w:top w:w="80" w:type="dxa"/>
              <w:start w:w="120" w:type="dxa"/>
              <w:bottom w:w="80" w:type="dxa"/>
              <w:end w:w="120" w:type="dxa"/>
            </w:tcMar>
            <w:vAlign w:val="center"/>
            <w:shd w:fill="24361B"/>
          </w:tcPr>
          <w:p>
            <w:pPr>
              <w:spacing w:after="0"/>
            </w:pPr>
            <w:r>
              <w:rPr>
                <w:rFonts w:ascii="Calibri" w:hAnsi="Calibri"/>
                <w:b/>
                <w:color w:val="FFFFFF"/>
                <w:sz w:val="19"/>
              </w:rPr>
              <w:t>Studio section</w:t>
            </w:r>
          </w:p>
        </w:tc>
        <w:tc>
          <w:tcPr>
            <w:tcW w:type="dxa" w:w="6860"/>
            <w:tcMar>
              <w:top w:w="80" w:type="dxa"/>
              <w:start w:w="120" w:type="dxa"/>
              <w:bottom w:w="80" w:type="dxa"/>
              <w:end w:w="120" w:type="dxa"/>
            </w:tcMar>
            <w:vAlign w:val="center"/>
            <w:shd w:fill="24361B"/>
          </w:tcPr>
          <w:p>
            <w:pPr>
              <w:spacing w:after="0"/>
            </w:pPr>
            <w:r>
              <w:rPr>
                <w:rFonts w:ascii="Calibri" w:hAnsi="Calibri"/>
                <w:b/>
                <w:color w:val="FFFFFF"/>
                <w:sz w:val="19"/>
              </w:rPr>
              <w:t>What lives there</w:t>
            </w:r>
          </w:p>
        </w:tc>
      </w:tr>
      <w:tr>
        <w:tc>
          <w:tcPr>
            <w:tcW w:type="dxa" w:w="2500"/>
            <w:tcMar>
              <w:top w:w="105" w:type="dxa"/>
              <w:start w:w="120" w:type="dxa"/>
              <w:bottom w:w="105" w:type="dxa"/>
              <w:end w:w="120" w:type="dxa"/>
            </w:tcMar>
          </w:tcPr>
          <w:p>
            <w:pPr>
              <w:spacing w:after="0"/>
            </w:pPr>
            <w:r>
              <w:rPr>
                <w:rFonts w:ascii="Calibri" w:hAnsi="Calibri"/>
                <w:b/>
                <w:color w:val="10140E"/>
                <w:sz w:val="19"/>
              </w:rPr>
              <w:t>Page Content</w:t>
            </w:r>
          </w:p>
        </w:tc>
        <w:tc>
          <w:tcPr>
            <w:tcW w:type="dxa" w:w="6860"/>
            <w:tcMar>
              <w:top w:w="105" w:type="dxa"/>
              <w:start w:w="120" w:type="dxa"/>
              <w:bottom w:w="105" w:type="dxa"/>
              <w:end w:w="120" w:type="dxa"/>
            </w:tcMar>
          </w:tcPr>
          <w:p>
            <w:pPr>
              <w:spacing w:after="0"/>
            </w:pPr>
            <w:r>
              <w:rPr>
                <w:rFonts w:ascii="Calibri" w:hAnsi="Calibri"/>
                <w:b w:val="0"/>
                <w:color w:val="10140E"/>
                <w:sz w:val="19"/>
              </w:rPr>
              <w:t>Selected Home and About content</w:t>
            </w:r>
          </w:p>
        </w:tc>
      </w:tr>
      <w:tr>
        <w:tc>
          <w:tcPr>
            <w:tcW w:type="dxa" w:w="2500"/>
            <w:tcMar>
              <w:top w:w="105" w:type="dxa"/>
              <w:start w:w="120" w:type="dxa"/>
              <w:bottom w:w="105" w:type="dxa"/>
              <w:end w:w="120" w:type="dxa"/>
            </w:tcMar>
            <w:shd w:fill="F4FAE9"/>
          </w:tcPr>
          <w:p>
            <w:pPr>
              <w:spacing w:after="0"/>
            </w:pPr>
            <w:r>
              <w:rPr>
                <w:rFonts w:ascii="Calibri" w:hAnsi="Calibri"/>
                <w:b/>
                <w:color w:val="10140E"/>
                <w:sz w:val="19"/>
              </w:rPr>
              <w:t>Academy</w:t>
            </w:r>
          </w:p>
        </w:tc>
        <w:tc>
          <w:tcPr>
            <w:tcW w:type="dxa" w:w="6860"/>
            <w:tcMar>
              <w:top w:w="105" w:type="dxa"/>
              <w:start w:w="120" w:type="dxa"/>
              <w:bottom w:w="105" w:type="dxa"/>
              <w:end w:w="120" w:type="dxa"/>
            </w:tcMar>
            <w:shd w:fill="F4FAE9"/>
          </w:tcPr>
          <w:p>
            <w:pPr>
              <w:spacing w:after="0"/>
            </w:pPr>
            <w:r>
              <w:rPr>
                <w:rFonts w:ascii="Calibri" w:hAnsi="Calibri"/>
                <w:b w:val="0"/>
                <w:color w:val="10140E"/>
                <w:sz w:val="19"/>
              </w:rPr>
              <w:t>Articles, webinars/events, courses, authors, and categories</w:t>
            </w:r>
          </w:p>
        </w:tc>
      </w:tr>
      <w:tr>
        <w:tc>
          <w:tcPr>
            <w:tcW w:type="dxa" w:w="2500"/>
            <w:tcMar>
              <w:top w:w="105" w:type="dxa"/>
              <w:start w:w="120" w:type="dxa"/>
              <w:bottom w:w="105" w:type="dxa"/>
              <w:end w:w="120" w:type="dxa"/>
            </w:tcMar>
          </w:tcPr>
          <w:p>
            <w:pPr>
              <w:spacing w:after="0"/>
            </w:pPr>
            <w:r>
              <w:rPr>
                <w:rFonts w:ascii="Calibri" w:hAnsi="Calibri"/>
                <w:b/>
                <w:color w:val="10140E"/>
                <w:sz w:val="19"/>
              </w:rPr>
              <w:t>Trust and people</w:t>
            </w:r>
          </w:p>
        </w:tc>
        <w:tc>
          <w:tcPr>
            <w:tcW w:type="dxa" w:w="6860"/>
            <w:tcMar>
              <w:top w:w="105" w:type="dxa"/>
              <w:start w:w="120" w:type="dxa"/>
              <w:bottom w:w="105" w:type="dxa"/>
              <w:end w:w="120" w:type="dxa"/>
            </w:tcMar>
          </w:tcPr>
          <w:p>
            <w:pPr>
              <w:spacing w:after="0"/>
            </w:pPr>
            <w:r>
              <w:rPr>
                <w:rFonts w:ascii="Calibri" w:hAnsi="Calibri"/>
                <w:b w:val="0"/>
                <w:color w:val="10140E"/>
                <w:sz w:val="19"/>
              </w:rPr>
              <w:t>Partners, testimonials, FAQs, team/advisors, and member stories</w:t>
            </w:r>
          </w:p>
        </w:tc>
      </w:tr>
      <w:tr>
        <w:tc>
          <w:tcPr>
            <w:tcW w:type="dxa" w:w="2500"/>
            <w:tcMar>
              <w:top w:w="105" w:type="dxa"/>
              <w:start w:w="120" w:type="dxa"/>
              <w:bottom w:w="105" w:type="dxa"/>
              <w:end w:w="120" w:type="dxa"/>
            </w:tcMar>
            <w:shd w:fill="F4FAE9"/>
          </w:tcPr>
          <w:p>
            <w:pPr>
              <w:spacing w:after="0"/>
            </w:pPr>
            <w:r>
              <w:rPr>
                <w:rFonts w:ascii="Calibri" w:hAnsi="Calibri"/>
                <w:b/>
                <w:color w:val="10140E"/>
                <w:sz w:val="19"/>
              </w:rPr>
              <w:t>Legal Pages</w:t>
            </w:r>
          </w:p>
        </w:tc>
        <w:tc>
          <w:tcPr>
            <w:tcW w:type="dxa" w:w="6860"/>
            <w:tcMar>
              <w:top w:w="105" w:type="dxa"/>
              <w:start w:w="120" w:type="dxa"/>
              <w:bottom w:w="105" w:type="dxa"/>
              <w:end w:w="120" w:type="dxa"/>
            </w:tcMar>
            <w:shd w:fill="F4FAE9"/>
          </w:tcPr>
          <w:p>
            <w:pPr>
              <w:spacing w:after="0"/>
            </w:pPr>
            <w:r>
              <w:rPr>
                <w:rFonts w:ascii="Calibri" w:hAnsi="Calibri"/>
                <w:b w:val="0"/>
                <w:color w:val="10140E"/>
                <w:sz w:val="19"/>
              </w:rPr>
              <w:t>Privacy, terms, cookies, and accessibility content</w:t>
            </w:r>
          </w:p>
        </w:tc>
      </w:tr>
      <w:tr>
        <w:tc>
          <w:tcPr>
            <w:tcW w:type="dxa" w:w="2500"/>
            <w:tcMar>
              <w:top w:w="105" w:type="dxa"/>
              <w:start w:w="120" w:type="dxa"/>
              <w:bottom w:w="105" w:type="dxa"/>
              <w:end w:w="120" w:type="dxa"/>
            </w:tcMar>
          </w:tcPr>
          <w:p>
            <w:pPr>
              <w:spacing w:after="0"/>
            </w:pPr>
            <w:r>
              <w:rPr>
                <w:rFonts w:ascii="Calibri" w:hAnsi="Calibri"/>
                <w:b/>
                <w:color w:val="10140E"/>
                <w:sz w:val="19"/>
              </w:rPr>
              <w:t>Site Settings</w:t>
            </w:r>
          </w:p>
        </w:tc>
        <w:tc>
          <w:tcPr>
            <w:tcW w:type="dxa" w:w="6860"/>
            <w:tcMar>
              <w:top w:w="105" w:type="dxa"/>
              <w:start w:w="120" w:type="dxa"/>
              <w:bottom w:w="105" w:type="dxa"/>
              <w:end w:w="120" w:type="dxa"/>
            </w:tcMar>
          </w:tcPr>
          <w:p>
            <w:pPr>
              <w:spacing w:after="0"/>
            </w:pPr>
            <w:r>
              <w:rPr>
                <w:rFonts w:ascii="Calibri" w:hAnsi="Calibri"/>
                <w:b w:val="0"/>
                <w:color w:val="10140E"/>
                <w:sz w:val="19"/>
              </w:rPr>
              <w:t>Contact details, social/community links, and future app promotion</w:t>
            </w:r>
          </w:p>
        </w:tc>
      </w:tr>
    </w:tbl>
    <w:tbl>
      <w:tblPr>
        <w:tblW w:type="dxa" w:w="9360"/>
        <w:jc w:val="left"/>
        <w:tblLayout w:type="fixed"/>
        <w:tblLook w:firstColumn="1" w:firstRow="1" w:lastColumn="0" w:lastRow="0" w:noHBand="0" w:noVBand="1" w:val="04A0"/>
        <w:tblInd w:w="120" w:type="dxa"/>
        <w:tblBorders>
          <w:top w:val="single" w:sz="5" w:space="0" w:color="DDE5DA"/>
          <w:left w:val="single" w:sz="5" w:space="0" w:color="DDE5DA"/>
          <w:bottom w:val="single" w:sz="5" w:space="0" w:color="DDE5DA"/>
          <w:right w:val="single" w:sz="5" w:space="0" w:color="DDE5DA"/>
        </w:tblBorders>
      </w:tblPr>
      <w:tblGrid>
        <w:gridCol w:w="9360"/>
      </w:tblGrid>
      <w:tr>
        <w:tc>
          <w:tcPr>
            <w:tcW w:type="dxa" w:w="9360"/>
            <w:tcMar>
              <w:top w:w="150" w:type="dxa"/>
              <w:start w:w="180" w:type="dxa"/>
              <w:bottom w:w="150" w:type="dxa"/>
              <w:end w:w="180" w:type="dxa"/>
            </w:tcMar>
            <w:vAlign w:val="center"/>
            <w:shd w:fill="FDF4EE"/>
          </w:tcPr>
          <w:p>
            <w:pPr>
              <w:spacing w:after="60"/>
            </w:pPr>
            <w:r>
              <w:rPr>
                <w:rFonts w:ascii="Calibri" w:hAnsi="Calibri"/>
                <w:b/>
                <w:color w:val="ED7A3B"/>
                <w:sz w:val="16"/>
              </w:rPr>
              <w:t>IMPORTANT</w:t>
            </w:r>
          </w:p>
          <w:p>
            <w:pPr>
              <w:spacing w:after="0"/>
            </w:pPr>
            <w:r>
              <w:rPr>
                <w:rFonts w:ascii="Calibri" w:hAnsi="Calibri"/>
                <w:color w:val="10140E"/>
                <w:sz w:val="21"/>
              </w:rPr>
              <w:t>Do not delete the Site Settings, Home, or About records. They are shared single records that the website depends on.</w:t>
            </w:r>
          </w:p>
        </w:tc>
      </w:tr>
    </w:tbl>
    <w:p>
      <w:pPr>
        <w:spacing w:after="40"/>
      </w:pPr>
    </w:p>
    <w:p>
      <w:r>
        <w:br w:type="page"/>
      </w:r>
    </w:p>
    <w:p>
      <w:pPr>
        <w:pStyle w:val="Heading1"/>
        <w:keepNext/>
      </w:pPr>
      <w:r>
        <w:t>4. Publish a new article</w:t>
      </w:r>
    </w:p>
    <w:p>
      <w:pPr>
        <w:keepNext w:val="0"/>
        <w:numPr>
          <w:ilvl w:val="0"/>
          <w:numId w:val="13"/>
        </w:numPr>
      </w:pPr>
      <w:r>
        <w:rPr>
          <w:rFonts w:ascii="Calibri" w:hAnsi="Calibri"/>
          <w:color w:val="10140E"/>
          <w:sz w:val="22"/>
        </w:rPr>
        <w:t>Go to Academy, open Articles, and select the create-new action.</w:t>
      </w:r>
    </w:p>
    <w:p>
      <w:pPr>
        <w:keepNext w:val="0"/>
        <w:numPr>
          <w:ilvl w:val="0"/>
          <w:numId w:val="13"/>
        </w:numPr>
      </w:pPr>
      <w:r>
        <w:rPr>
          <w:rFonts w:ascii="Calibri" w:hAnsi="Calibri"/>
          <w:color w:val="10140E"/>
          <w:sz w:val="22"/>
        </w:rPr>
        <w:t>Add the title, then generate the slug. Treat the slug as permanent after first publication because changing it can break shared links.</w:t>
      </w:r>
    </w:p>
    <w:p>
      <w:pPr>
        <w:keepNext w:val="0"/>
        <w:numPr>
          <w:ilvl w:val="0"/>
          <w:numId w:val="13"/>
        </w:numPr>
      </w:pPr>
      <w:r>
        <w:rPr>
          <w:rFonts w:ascii="Calibri" w:hAnsi="Calibri"/>
          <w:color w:val="10140E"/>
          <w:sz w:val="22"/>
        </w:rPr>
        <w:t>Write an excerpt of no more than 220 characters, then choose an Article-enabled category and an existing author.</w:t>
      </w:r>
    </w:p>
    <w:p>
      <w:pPr>
        <w:keepNext w:val="0"/>
        <w:numPr>
          <w:ilvl w:val="0"/>
          <w:numId w:val="13"/>
        </w:numPr>
      </w:pPr>
      <w:r>
        <w:rPr>
          <w:rFonts w:ascii="Calibri" w:hAnsi="Calibri"/>
          <w:color w:val="10140E"/>
          <w:sz w:val="22"/>
        </w:rPr>
        <w:t>Set Published at for the displayed date and article ordering. This field does not schedule publication; only the Publish button makes the article public.</w:t>
      </w:r>
    </w:p>
    <w:p>
      <w:pPr>
        <w:keepNext w:val="0"/>
        <w:numPr>
          <w:ilvl w:val="0"/>
          <w:numId w:val="13"/>
        </w:numPr>
      </w:pPr>
      <w:r>
        <w:rPr>
          <w:rFonts w:ascii="Calibri" w:hAnsi="Calibri"/>
          <w:color w:val="10140E"/>
          <w:sz w:val="22"/>
        </w:rPr>
        <w:t>Leave Read time blank to calculate it from the body, or enter a positive whole-number override when editorially necessary.</w:t>
      </w:r>
    </w:p>
    <w:p>
      <w:pPr>
        <w:keepNext w:val="0"/>
        <w:numPr>
          <w:ilvl w:val="0"/>
          <w:numId w:val="13"/>
        </w:numPr>
      </w:pPr>
      <w:r>
        <w:rPr>
          <w:rFonts w:ascii="Calibri" w:hAnsi="Calibri"/>
          <w:color w:val="10140E"/>
          <w:sz w:val="22"/>
        </w:rPr>
        <w:t>Upload the required card image and alt text. The hero image is optional and falls back to the card image when omitted.</w:t>
      </w:r>
    </w:p>
    <w:p>
      <w:pPr>
        <w:keepNext w:val="0"/>
        <w:numPr>
          <w:ilvl w:val="0"/>
          <w:numId w:val="13"/>
        </w:numPr>
      </w:pPr>
      <w:r>
        <w:rPr>
          <w:rFonts w:ascii="Calibri" w:hAnsi="Calibri"/>
          <w:color w:val="10140E"/>
          <w:sz w:val="22"/>
        </w:rPr>
        <w:t>Build the body with Normal text, H2/H3 headings, quotes, bullet lists, callouts, tables, code blocks, body images, or structured ordered steps.</w:t>
      </w:r>
    </w:p>
    <w:p>
      <w:pPr>
        <w:keepNext w:val="0"/>
        <w:numPr>
          <w:ilvl w:val="0"/>
          <w:numId w:val="13"/>
        </w:numPr>
      </w:pPr>
      <w:r>
        <w:rPr>
          <w:rFonts w:ascii="Calibri" w:hAnsi="Calibri"/>
          <w:color w:val="10140E"/>
          <w:sz w:val="22"/>
        </w:rPr>
        <w:t>Complete Search and sharing fields if custom SEO text or a share image is needed; otherwise the website uses its defaults.</w:t>
      </w:r>
    </w:p>
    <w:p>
      <w:pPr>
        <w:keepNext w:val="0"/>
        <w:numPr>
          <w:ilvl w:val="0"/>
          <w:numId w:val="13"/>
        </w:numPr>
      </w:pPr>
      <w:r>
        <w:rPr>
          <w:rFonts w:ascii="Calibri" w:hAnsi="Calibri"/>
          <w:color w:val="10140E"/>
          <w:sz w:val="22"/>
        </w:rPr>
        <w:t>Publish, then open the public article page and check the card, image, author, category, and text.</w:t>
      </w:r>
    </w:p>
    <w:tbl>
      <w:tblPr>
        <w:tblW w:type="dxa" w:w="9360"/>
        <w:jc w:val="left"/>
        <w:tblLayout w:type="fixed"/>
        <w:tblLook w:firstColumn="1" w:firstRow="1" w:lastColumn="0" w:lastRow="0" w:noHBand="0" w:noVBand="1" w:val="04A0"/>
        <w:tblInd w:w="120" w:type="dxa"/>
        <w:tblBorders>
          <w:top w:val="single" w:sz="5" w:space="0" w:color="DDE5DA"/>
          <w:left w:val="single" w:sz="5" w:space="0" w:color="DDE5DA"/>
          <w:bottom w:val="single" w:sz="5" w:space="0" w:color="DDE5DA"/>
          <w:right w:val="single" w:sz="5" w:space="0" w:color="DDE5DA"/>
        </w:tblBorders>
      </w:tblPr>
      <w:tblGrid>
        <w:gridCol w:w="9360"/>
      </w:tblGrid>
      <w:tr>
        <w:tc>
          <w:tcPr>
            <w:tcW w:type="dxa" w:w="9360"/>
            <w:tcMar>
              <w:top w:w="150" w:type="dxa"/>
              <w:start w:w="180" w:type="dxa"/>
              <w:bottom w:w="150" w:type="dxa"/>
              <w:end w:w="180" w:type="dxa"/>
            </w:tcMar>
            <w:vAlign w:val="center"/>
            <w:shd w:fill="F4FAE9"/>
          </w:tcPr>
          <w:p>
            <w:pPr>
              <w:spacing w:after="60"/>
            </w:pPr>
            <w:r>
              <w:rPr>
                <w:rFonts w:ascii="Calibri" w:hAnsi="Calibri"/>
                <w:b/>
                <w:color w:val="24361B"/>
                <w:sz w:val="16"/>
              </w:rPr>
              <w:t>ARTICLE EXAMPLE</w:t>
            </w:r>
          </w:p>
          <w:p>
            <w:pPr>
              <w:spacing w:after="0"/>
            </w:pPr>
            <w:r>
              <w:rPr>
                <w:rFonts w:ascii="Calibri" w:hAnsi="Calibri"/>
                <w:color w:val="10140E"/>
                <w:sz w:val="21"/>
              </w:rPr>
              <w:t>For an article titled 'Five ways agribusinesses can prepare for export', generate the slug once, write a short card excerpt, select the correct category and author, leave Read time blank unless a specific value is required, upload a clear card image with descriptive alt text, and use H2 headings for the five main sections. Publish only after the displayed date and public preview are correct.</w:t>
            </w:r>
          </w:p>
        </w:tc>
      </w:tr>
    </w:tbl>
    <w:p>
      <w:pPr>
        <w:spacing w:after="40"/>
      </w:pPr>
    </w:p>
    <w:p>
      <w:pPr>
        <w:pStyle w:val="Heading2"/>
        <w:keepNext/>
      </w:pPr>
      <w:r>
        <w:t>Article edge cases</w:t>
      </w:r>
    </w:p>
    <w:p>
      <w:pPr>
        <w:keepNext w:val="0"/>
        <w:numPr>
          <w:ilvl w:val="0"/>
          <w:numId w:val="10"/>
        </w:numPr>
      </w:pPr>
      <w:r>
        <w:rPr>
          <w:rFonts w:ascii="Calibri" w:hAnsi="Calibri"/>
          <w:color w:val="10140E"/>
          <w:sz w:val="22"/>
        </w:rPr>
        <w:t>Draft versus date: a future Published at value does not keep a published document hidden. Keep it as a Draft until the approved release time.</w:t>
      </w:r>
    </w:p>
    <w:p>
      <w:pPr>
        <w:keepNext w:val="0"/>
        <w:numPr>
          <w:ilvl w:val="0"/>
          <w:numId w:val="10"/>
        </w:numPr>
      </w:pPr>
      <w:r>
        <w:rPr>
          <w:rFonts w:ascii="Calibri" w:hAnsi="Calibri"/>
          <w:color w:val="10140E"/>
          <w:sz w:val="22"/>
        </w:rPr>
        <w:t>Image reuse: if no separate hero image is needed, leave it empty; the required card image is used instead.</w:t>
      </w:r>
    </w:p>
    <w:p>
      <w:pPr>
        <w:keepNext w:val="0"/>
        <w:numPr>
          <w:ilvl w:val="0"/>
          <w:numId w:val="10"/>
        </w:numPr>
      </w:pPr>
      <w:r>
        <w:rPr>
          <w:rFonts w:ascii="Calibri" w:hAnsi="Calibri"/>
          <w:color w:val="10140E"/>
          <w:sz w:val="22"/>
        </w:rPr>
        <w:t>Formatting: use the supported body blocks. Do not paste complex formatting from Word and assume it will appear identically on the website.</w:t>
      </w:r>
    </w:p>
    <w:p>
      <w:pPr>
        <w:keepNext w:val="0"/>
        <w:numPr>
          <w:ilvl w:val="0"/>
          <w:numId w:val="10"/>
        </w:numPr>
      </w:pPr>
      <w:r>
        <w:rPr>
          <w:rFonts w:ascii="Calibri" w:hAnsi="Calibri"/>
          <w:color w:val="10140E"/>
          <w:sz w:val="22"/>
        </w:rPr>
        <w:t>Corrections after publish: edit and Publish again, then verify the public page. Avoid changing the slug for a normal correction.</w:t>
      </w:r>
    </w:p>
    <w:p>
      <w:pPr>
        <w:pStyle w:val="Heading1"/>
        <w:keepNext/>
      </w:pPr>
      <w:r>
        <w:t>5. Add a webinar or event</w:t>
      </w:r>
    </w:p>
    <w:p>
      <w:pPr>
        <w:keepNext w:val="0"/>
        <w:numPr>
          <w:ilvl w:val="0"/>
          <w:numId w:val="14"/>
        </w:numPr>
      </w:pPr>
      <w:r>
        <w:rPr>
          <w:rFonts w:ascii="Calibri" w:hAnsi="Calibri"/>
          <w:color w:val="10140E"/>
          <w:sz w:val="22"/>
        </w:rPr>
        <w:t>Go to Academy, then Webinars &amp; Events. Open Upcoming and create a new record.</w:t>
      </w:r>
    </w:p>
    <w:p>
      <w:pPr>
        <w:keepNext w:val="0"/>
        <w:numPr>
          <w:ilvl w:val="0"/>
          <w:numId w:val="14"/>
        </w:numPr>
      </w:pPr>
      <w:r>
        <w:rPr>
          <w:rFonts w:ascii="Calibri" w:hAnsi="Calibri"/>
          <w:color w:val="10140E"/>
          <w:sz w:val="22"/>
        </w:rPr>
        <w:t>Add the title, generate the slug, choose a Webinar/Event-enabled category, and set the required start date and time carefully.</w:t>
      </w:r>
    </w:p>
    <w:p>
      <w:pPr>
        <w:keepNext w:val="0"/>
        <w:numPr>
          <w:ilvl w:val="0"/>
          <w:numId w:val="14"/>
        </w:numPr>
      </w:pPr>
      <w:r>
        <w:rPr>
          <w:rFonts w:ascii="Calibri" w:hAnsi="Calibri"/>
          <w:color w:val="10140E"/>
          <w:sz w:val="22"/>
        </w:rPr>
        <w:t>Add the description, short excerpt, image with alt text, body details, location, format, and speakers where applicable.</w:t>
      </w:r>
    </w:p>
    <w:p>
      <w:pPr>
        <w:keepNext w:val="0"/>
        <w:numPr>
          <w:ilvl w:val="0"/>
          <w:numId w:val="14"/>
        </w:numPr>
      </w:pPr>
      <w:r>
        <w:rPr>
          <w:rFonts w:ascii="Calibri" w:hAnsi="Calibri"/>
          <w:color w:val="10140E"/>
          <w:sz w:val="22"/>
        </w:rPr>
        <w:t>Add an end date and time when the website should show Happening now between the start and end. The end must be after the start.</w:t>
      </w:r>
    </w:p>
    <w:p>
      <w:pPr>
        <w:keepNext w:val="0"/>
        <w:numPr>
          <w:ilvl w:val="0"/>
          <w:numId w:val="14"/>
        </w:numPr>
      </w:pPr>
      <w:r>
        <w:rPr>
          <w:rFonts w:ascii="Calibri" w:hAnsi="Calibri"/>
          <w:color w:val="10140E"/>
          <w:sz w:val="22"/>
        </w:rPr>
        <w:t>Choose the registration mode that matches who owns the signup process; do not choose a mode only because its button wording looks preferable.</w:t>
      </w:r>
    </w:p>
    <w:p>
      <w:pPr>
        <w:keepNext w:val="0"/>
        <w:numPr>
          <w:ilvl w:val="0"/>
          <w:numId w:val="14"/>
        </w:numPr>
      </w:pPr>
      <w:r>
        <w:rPr>
          <w:rFonts w:ascii="Calibri" w:hAnsi="Calibri"/>
          <w:color w:val="10140E"/>
          <w:sz w:val="22"/>
        </w:rPr>
        <w:t>Publish and check the public event page and Academy listing.</w:t>
      </w:r>
    </w:p>
    <w:tbl>
      <w:tblPr>
        <w:tblW w:type="dxa" w:w="9360"/>
        <w:jc w:val="left"/>
        <w:tblLayout w:type="fixed"/>
        <w:tblLook w:firstColumn="1" w:firstRow="1" w:lastColumn="0" w:lastRow="0" w:noHBand="0" w:noVBand="1" w:val="04A0"/>
        <w:tblInd w:w="120" w:type="dxa"/>
        <w:tblBorders>
          <w:top w:val="single" w:sz="5" w:space="0" w:color="DDE5DA"/>
          <w:left w:val="single" w:sz="5" w:space="0" w:color="DDE5DA"/>
          <w:bottom w:val="single" w:sz="5" w:space="0" w:color="DDE5DA"/>
          <w:right w:val="single" w:sz="5" w:space="0" w:color="DDE5DA"/>
        </w:tblBorders>
      </w:tblPr>
      <w:tblGrid>
        <w:gridCol w:w="9360"/>
      </w:tblGrid>
      <w:tr>
        <w:tc>
          <w:tcPr>
            <w:tcW w:type="dxa" w:w="9360"/>
            <w:tcMar>
              <w:top w:w="150" w:type="dxa"/>
              <w:start w:w="180" w:type="dxa"/>
              <w:bottom w:w="150" w:type="dxa"/>
              <w:end w:w="180" w:type="dxa"/>
            </w:tcMar>
            <w:vAlign w:val="center"/>
            <w:shd w:fill="F4FAE9"/>
          </w:tcPr>
          <w:p>
            <w:pPr>
              <w:spacing w:after="60"/>
            </w:pPr>
            <w:r>
              <w:rPr>
                <w:rFonts w:ascii="Calibri" w:hAnsi="Calibri"/>
                <w:b/>
                <w:color w:val="24361B"/>
                <w:sz w:val="16"/>
              </w:rPr>
              <w:t>UPCOMING AND PAST ARE AUTOMATIC</w:t>
            </w:r>
          </w:p>
          <w:p>
            <w:pPr>
              <w:spacing w:after="0"/>
            </w:pPr>
            <w:r>
              <w:rPr>
                <w:rFonts w:ascii="Calibri" w:hAnsi="Calibri"/>
                <w:color w:val="10140E"/>
                <w:sz w:val="21"/>
              </w:rPr>
              <w:t>Future and in-progress events appear under Upcoming. With a valid end time, an event can show Happening now until that end passes. Without an end time, it stops being upcoming when it starts. After its effective end, it appears under Past. Editors never move events manually.</w:t>
            </w:r>
          </w:p>
        </w:tc>
      </w:tr>
    </w:tbl>
    <w:p>
      <w:pPr>
        <w:spacing w:after="40"/>
      </w:pPr>
    </w:p>
    <w:p>
      <w:r>
        <w:br w:type="page"/>
      </w:r>
    </w:p>
    <w:p>
      <w:pPr>
        <w:pStyle w:val="Heading2"/>
        <w:keepNext/>
      </w:pPr>
      <w:r>
        <w:t>Registration choices and examples</w:t>
      </w:r>
    </w:p>
    <w:p>
      <w:pPr>
        <w:keepNext w:val="0"/>
        <w:numPr>
          <w:ilvl w:val="0"/>
          <w:numId w:val="10"/>
        </w:numPr>
      </w:pPr>
      <w:r>
        <w:rPr>
          <w:rFonts w:ascii="Calibri" w:hAnsi="Calibri"/>
          <w:color w:val="10140E"/>
          <w:sz w:val="22"/>
        </w:rPr>
        <w:t>Open on this site: use the iProduce form. It closes at the optional deadline, or at the webinar start when no deadline is set.</w:t>
      </w:r>
    </w:p>
    <w:p>
      <w:pPr>
        <w:keepNext w:val="0"/>
        <w:numPr>
          <w:ilvl w:val="0"/>
          <w:numId w:val="10"/>
        </w:numPr>
      </w:pPr>
      <w:r>
        <w:rPr>
          <w:rFonts w:ascii="Calibri" w:hAnsi="Calibri"/>
          <w:color w:val="10140E"/>
          <w:sz w:val="22"/>
        </w:rPr>
        <w:t>Collect interest only: use the iProduce form as an interest or waitlist signup. Without a deadline, it can remain available after the event starts.</w:t>
      </w:r>
    </w:p>
    <w:p>
      <w:pPr>
        <w:keepNext w:val="0"/>
        <w:numPr>
          <w:ilvl w:val="0"/>
          <w:numId w:val="10"/>
        </w:numPr>
      </w:pPr>
      <w:r>
        <w:rPr>
          <w:rFonts w:ascii="Calibri" w:hAnsi="Calibri"/>
          <w:color w:val="10140E"/>
          <w:sz w:val="22"/>
        </w:rPr>
        <w:t>Send to an external page: use Zoom, Eventbrite, or another provider. A full URL is required; that provider owns registrations and emails, not the iProduce website form.</w:t>
      </w:r>
    </w:p>
    <w:p>
      <w:pPr>
        <w:keepNext w:val="0"/>
        <w:numPr>
          <w:ilvl w:val="0"/>
          <w:numId w:val="10"/>
        </w:numPr>
      </w:pPr>
      <w:r>
        <w:rPr>
          <w:rFonts w:ascii="Calibri" w:hAnsi="Calibri"/>
          <w:color w:val="10140E"/>
          <w:sz w:val="22"/>
        </w:rPr>
        <w:t>Registration closed: remove the signup action and show the closed message. Use this when registration is unavailable or capacity is full.</w:t>
      </w:r>
    </w:p>
    <w:tbl>
      <w:tblPr>
        <w:tblW w:type="dxa" w:w="9360"/>
        <w:jc w:val="left"/>
        <w:tblLayout w:type="fixed"/>
        <w:tblLook w:firstColumn="1" w:firstRow="1" w:lastColumn="0" w:lastRow="0" w:noHBand="0" w:noVBand="1" w:val="04A0"/>
        <w:tblInd w:w="120" w:type="dxa"/>
        <w:tblBorders>
          <w:top w:val="single" w:sz="5" w:space="0" w:color="DDE5DA"/>
          <w:left w:val="single" w:sz="5" w:space="0" w:color="DDE5DA"/>
          <w:bottom w:val="single" w:sz="5" w:space="0" w:color="DDE5DA"/>
          <w:right w:val="single" w:sz="5" w:space="0" w:color="DDE5DA"/>
        </w:tblBorders>
      </w:tblPr>
      <w:tblGrid>
        <w:gridCol w:w="9360"/>
      </w:tblGrid>
      <w:tr>
        <w:tc>
          <w:tcPr>
            <w:tcW w:type="dxa" w:w="9360"/>
            <w:tcMar>
              <w:top w:w="150" w:type="dxa"/>
              <w:start w:w="180" w:type="dxa"/>
              <w:bottom w:w="150" w:type="dxa"/>
              <w:end w:w="180" w:type="dxa"/>
            </w:tcMar>
            <w:vAlign w:val="center"/>
            <w:shd w:fill="F4FAE9"/>
          </w:tcPr>
          <w:p>
            <w:pPr>
              <w:spacing w:after="60"/>
            </w:pPr>
            <w:r>
              <w:rPr>
                <w:rFonts w:ascii="Calibri" w:hAnsi="Calibri"/>
                <w:b/>
                <w:color w:val="24361B"/>
                <w:sz w:val="16"/>
              </w:rPr>
              <w:t>EXAMPLE A - LIVE WEBINAR</w:t>
            </w:r>
          </w:p>
          <w:p>
            <w:pPr>
              <w:spacing w:after="0"/>
            </w:pPr>
            <w:r>
              <w:rPr>
                <w:rFonts w:ascii="Calibri" w:hAnsi="Calibri"/>
                <w:color w:val="10140E"/>
                <w:sz w:val="21"/>
              </w:rPr>
              <w:t>A webinar runs from 10:00 to 11:30 and accepts the iProduce form until 09:00. Set the start, end, Open on this site, and a 09:00 registration deadline. The event can show Happening now during the session, while signup closes before it begins.</w:t>
            </w:r>
          </w:p>
        </w:tc>
      </w:tr>
    </w:tbl>
    <w:p>
      <w:pPr>
        <w:spacing w:after="40"/>
      </w:pPr>
    </w:p>
    <w:tbl>
      <w:tblPr>
        <w:tblW w:type="dxa" w:w="9360"/>
        <w:jc w:val="left"/>
        <w:tblLayout w:type="fixed"/>
        <w:tblLook w:firstColumn="1" w:firstRow="1" w:lastColumn="0" w:lastRow="0" w:noHBand="0" w:noVBand="1" w:val="04A0"/>
        <w:tblInd w:w="120" w:type="dxa"/>
        <w:tblBorders>
          <w:top w:val="single" w:sz="5" w:space="0" w:color="DDE5DA"/>
          <w:left w:val="single" w:sz="5" w:space="0" w:color="DDE5DA"/>
          <w:bottom w:val="single" w:sz="5" w:space="0" w:color="DDE5DA"/>
          <w:right w:val="single" w:sz="5" w:space="0" w:color="DDE5DA"/>
        </w:tblBorders>
      </w:tblPr>
      <w:tblGrid>
        <w:gridCol w:w="9360"/>
      </w:tblGrid>
      <w:tr>
        <w:tc>
          <w:tcPr>
            <w:tcW w:type="dxa" w:w="9360"/>
            <w:tcMar>
              <w:top w:w="150" w:type="dxa"/>
              <w:start w:w="180" w:type="dxa"/>
              <w:bottom w:w="150" w:type="dxa"/>
              <w:end w:w="180" w:type="dxa"/>
            </w:tcMar>
            <w:vAlign w:val="center"/>
            <w:shd w:fill="FDF4EE"/>
          </w:tcPr>
          <w:p>
            <w:pPr>
              <w:spacing w:after="60"/>
            </w:pPr>
            <w:r>
              <w:rPr>
                <w:rFonts w:ascii="Calibri" w:hAnsi="Calibri"/>
                <w:b/>
                <w:color w:val="ED7A3B"/>
                <w:sz w:val="16"/>
              </w:rPr>
              <w:t>EXAMPLE B - EXTERNAL CONFERENCE</w:t>
            </w:r>
          </w:p>
          <w:p>
            <w:pPr>
              <w:spacing w:after="0"/>
            </w:pPr>
            <w:r>
              <w:rPr>
                <w:rFonts w:ascii="Calibri" w:hAnsi="Calibri"/>
                <w:color w:val="10140E"/>
                <w:sz w:val="21"/>
              </w:rPr>
              <w:t>An event uses Eventbrite. Choose Send to an external page, paste the full Eventbrite URL, and enter Eventbrite as the provider. The public button opens Eventbrite in a new tab; registration records and confirmation emails belong to Eventbrite.</w:t>
            </w:r>
          </w:p>
        </w:tc>
      </w:tr>
    </w:tbl>
    <w:p>
      <w:pPr>
        <w:spacing w:after="40"/>
      </w:pPr>
    </w:p>
    <w:tbl>
      <w:tblPr>
        <w:tblW w:type="dxa" w:w="9360"/>
        <w:jc w:val="left"/>
        <w:tblLayout w:type="fixed"/>
        <w:tblLook w:firstColumn="1" w:firstRow="1" w:lastColumn="0" w:lastRow="0" w:noHBand="0" w:noVBand="1" w:val="04A0"/>
        <w:tblInd w:w="120" w:type="dxa"/>
        <w:tblBorders>
          <w:top w:val="single" w:sz="5" w:space="0" w:color="DDE5DA"/>
          <w:left w:val="single" w:sz="5" w:space="0" w:color="DDE5DA"/>
          <w:bottom w:val="single" w:sz="5" w:space="0" w:color="DDE5DA"/>
          <w:right w:val="single" w:sz="5" w:space="0" w:color="DDE5DA"/>
        </w:tblBorders>
      </w:tblPr>
      <w:tblGrid>
        <w:gridCol w:w="9360"/>
      </w:tblGrid>
      <w:tr>
        <w:tc>
          <w:tcPr>
            <w:tcW w:type="dxa" w:w="9360"/>
            <w:tcMar>
              <w:top w:w="150" w:type="dxa"/>
              <w:start w:w="180" w:type="dxa"/>
              <w:bottom w:w="150" w:type="dxa"/>
              <w:end w:w="180" w:type="dxa"/>
            </w:tcMar>
            <w:vAlign w:val="center"/>
            <w:shd w:fill="F4FAE9"/>
          </w:tcPr>
          <w:p>
            <w:pPr>
              <w:spacing w:after="60"/>
            </w:pPr>
            <w:r>
              <w:rPr>
                <w:rFonts w:ascii="Calibri" w:hAnsi="Calibri"/>
                <w:b/>
                <w:color w:val="24361B"/>
                <w:sz w:val="16"/>
              </w:rPr>
              <w:t>EXAMPLE C - REGISTRATION IS FULL</w:t>
            </w:r>
          </w:p>
          <w:p>
            <w:pPr>
              <w:spacing w:after="0"/>
            </w:pPr>
            <w:r>
              <w:rPr>
                <w:rFonts w:ascii="Calibri" w:hAnsi="Calibri"/>
                <w:color w:val="10140E"/>
                <w:sz w:val="21"/>
              </w:rPr>
              <w:t>Change the mode to Registration closed and add a clear message such as 'Registration is full for this session.' Do not leave an external or on-site registration button active when no places remain.</w:t>
            </w:r>
          </w:p>
        </w:tc>
      </w:tr>
    </w:tbl>
    <w:p>
      <w:pPr>
        <w:spacing w:after="40"/>
      </w:pPr>
    </w:p>
    <w:p>
      <w:r>
        <w:br w:type="page"/>
      </w:r>
    </w:p>
    <w:p>
      <w:pPr>
        <w:pStyle w:val="Heading2"/>
        <w:keepNext/>
      </w:pPr>
      <w:r>
        <w:t>Webinar and event edge cases</w:t>
      </w:r>
    </w:p>
    <w:p>
      <w:pPr>
        <w:keepNext w:val="0"/>
        <w:numPr>
          <w:ilvl w:val="0"/>
          <w:numId w:val="10"/>
        </w:numPr>
      </w:pPr>
      <w:r>
        <w:rPr>
          <w:rFonts w:ascii="Calibri" w:hAnsi="Calibri"/>
          <w:color w:val="10140E"/>
          <w:sz w:val="22"/>
        </w:rPr>
        <w:t>A registration deadline must be at or before the start time.</w:t>
      </w:r>
    </w:p>
    <w:p>
      <w:pPr>
        <w:keepNext w:val="0"/>
        <w:numPr>
          <w:ilvl w:val="0"/>
          <w:numId w:val="10"/>
        </w:numPr>
      </w:pPr>
      <w:r>
        <w:rPr>
          <w:rFonts w:ascii="Calibri" w:hAnsi="Calibri"/>
          <w:color w:val="10140E"/>
          <w:sz w:val="22"/>
        </w:rPr>
        <w:t>If the provider name is blank for an external event, the website uses neutral external-platform wording.</w:t>
      </w:r>
    </w:p>
    <w:p>
      <w:pPr>
        <w:keepNext w:val="0"/>
        <w:numPr>
          <w:ilvl w:val="0"/>
          <w:numId w:val="10"/>
        </w:numPr>
      </w:pPr>
      <w:r>
        <w:rPr>
          <w:rFonts w:ascii="Calibri" w:hAnsi="Calibri"/>
          <w:color w:val="10140E"/>
          <w:sz w:val="22"/>
        </w:rPr>
        <w:t>An undated Draft remains visible in the Studio Upcoming list so it is not lost, but it should not be published until the required start time is confirmed.</w:t>
      </w:r>
    </w:p>
    <w:p>
      <w:pPr>
        <w:keepNext w:val="0"/>
        <w:numPr>
          <w:ilvl w:val="0"/>
          <w:numId w:val="10"/>
        </w:numPr>
      </w:pPr>
      <w:r>
        <w:rPr>
          <w:rFonts w:ascii="Calibri" w:hAnsi="Calibri"/>
          <w:color w:val="10140E"/>
          <w:sz w:val="22"/>
        </w:rPr>
        <w:t>Changing an event time can affect Upcoming, Past, countdown, Happening now, and registration state. Check the listing and detail page after publishing.</w:t>
      </w:r>
    </w:p>
    <w:p>
      <w:pPr>
        <w:pStyle w:val="Heading1"/>
        <w:keepNext/>
      </w:pPr>
      <w:r>
        <w:t>6. Manage Academy categories</w:t>
      </w:r>
    </w:p>
    <w:p>
      <w:pPr>
        <w:keepNext w:val="0"/>
        <w:numPr>
          <w:ilvl w:val="0"/>
          <w:numId w:val="10"/>
        </w:numPr>
      </w:pPr>
      <w:r>
        <w:rPr>
          <w:rFonts w:ascii="Calibri" w:hAnsi="Calibri"/>
          <w:color w:val="10140E"/>
          <w:sz w:val="22"/>
        </w:rPr>
        <w:t>Category name and slug identify the category and its URL value.</w:t>
      </w:r>
    </w:p>
    <w:p>
      <w:pPr>
        <w:keepNext w:val="0"/>
        <w:numPr>
          <w:ilvl w:val="0"/>
          <w:numId w:val="10"/>
        </w:numPr>
      </w:pPr>
      <w:r>
        <w:rPr>
          <w:rFonts w:ascii="Calibri" w:hAnsi="Calibri"/>
          <w:color w:val="10140E"/>
          <w:sz w:val="22"/>
        </w:rPr>
        <w:t>The Article and Webinar/Event toggles control where a category can be selected.</w:t>
      </w:r>
    </w:p>
    <w:p>
      <w:pPr>
        <w:keepNext w:val="0"/>
        <w:numPr>
          <w:ilvl w:val="0"/>
          <w:numId w:val="10"/>
        </w:numPr>
      </w:pPr>
      <w:r>
        <w:rPr>
          <w:rFonts w:ascii="Calibri" w:hAnsi="Calibri"/>
          <w:color w:val="10140E"/>
          <w:sz w:val="22"/>
        </w:rPr>
        <w:t>Badge colour controls its public label colour; Display order controls filter order.</w:t>
      </w:r>
    </w:p>
    <w:p>
      <w:pPr>
        <w:keepNext w:val="0"/>
        <w:numPr>
          <w:ilvl w:val="0"/>
          <w:numId w:val="10"/>
        </w:numPr>
      </w:pPr>
      <w:r>
        <w:rPr>
          <w:rFonts w:ascii="Calibri" w:hAnsi="Calibri"/>
          <w:color w:val="10140E"/>
          <w:sz w:val="22"/>
        </w:rPr>
        <w:t>A category cannot be deleted while published content still uses it. Reassign that content first, or turn off its use toggles to prevent new assignments.</w:t>
      </w:r>
    </w:p>
    <w:p>
      <w:pPr>
        <w:pStyle w:val="Heading1"/>
        <w:keepNext/>
      </w:pPr>
      <w:r>
        <w:t>7. Website Academy versus separate products</w:t>
      </w:r>
    </w:p>
    <w:p>
      <w:pPr>
        <w:spacing w:after="120"/>
      </w:pPr>
      <w:r>
        <w:rPr>
          <w:rFonts w:ascii="Calibri" w:hAnsi="Calibri"/>
          <w:color w:val="10140E"/>
          <w:sz w:val="22"/>
        </w:rPr>
        <w:t>The website CMS manages public Academy catalogue content: articles, event pages, course descriptions, and approved links. It does not manage the LMS or mobile app themselves.</w:t>
      </w:r>
    </w:p>
    <w:p>
      <w:pPr>
        <w:keepNext w:val="0"/>
        <w:numPr>
          <w:ilvl w:val="0"/>
          <w:numId w:val="10"/>
        </w:numPr>
      </w:pPr>
      <w:r>
        <w:rPr>
          <w:rFonts w:ascii="Calibri" w:hAnsi="Calibri"/>
          <w:color w:val="10140E"/>
          <w:sz w:val="22"/>
        </w:rPr>
        <w:t>The separate LMS team owns learner accounts, enrolment, lessons, progress, payments, certificates, LMS availability, and LMS support.</w:t>
      </w:r>
    </w:p>
    <w:p>
      <w:pPr>
        <w:keepNext w:val="0"/>
        <w:numPr>
          <w:ilvl w:val="0"/>
          <w:numId w:val="10"/>
        </w:numPr>
      </w:pPr>
      <w:r>
        <w:rPr>
          <w:rFonts w:ascii="Calibri" w:hAnsi="Calibri"/>
          <w:color w:val="10140E"/>
          <w:sz w:val="22"/>
        </w:rPr>
        <w:t>The separate mobile-app team owns app functionality, accounts, releases, store listings, and mobile-app support.</w:t>
      </w:r>
    </w:p>
    <w:p>
      <w:pPr>
        <w:keepNext w:val="0"/>
        <w:numPr>
          <w:ilvl w:val="0"/>
          <w:numId w:val="10"/>
        </w:numPr>
      </w:pPr>
      <w:r>
        <w:rPr>
          <w:rFonts w:ascii="Calibri" w:hAnsi="Calibri"/>
          <w:color w:val="10140E"/>
          <w:sz w:val="22"/>
        </w:rPr>
        <w:t>Tobi may update an approved LMS course URL or approved app-promotion text in the website CMS, but problems inside those products go to their respective development teams.</w:t>
      </w:r>
    </w:p>
    <w:tbl>
      <w:tblPr>
        <w:tblW w:type="dxa" w:w="9360"/>
        <w:jc w:val="left"/>
        <w:tblLayout w:type="fixed"/>
        <w:tblLook w:firstColumn="1" w:firstRow="1" w:lastColumn="0" w:lastRow="0" w:noHBand="0" w:noVBand="1" w:val="04A0"/>
        <w:tblInd w:w="120" w:type="dxa"/>
        <w:tblBorders>
          <w:top w:val="single" w:sz="5" w:space="0" w:color="DDE5DA"/>
          <w:left w:val="single" w:sz="5" w:space="0" w:color="DDE5DA"/>
          <w:bottom w:val="single" w:sz="5" w:space="0" w:color="DDE5DA"/>
          <w:right w:val="single" w:sz="5" w:space="0" w:color="DDE5DA"/>
        </w:tblBorders>
      </w:tblPr>
      <w:tblGrid>
        <w:gridCol w:w="9360"/>
      </w:tblGrid>
      <w:tr>
        <w:tc>
          <w:tcPr>
            <w:tcW w:type="dxa" w:w="9360"/>
            <w:tcMar>
              <w:top w:w="150" w:type="dxa"/>
              <w:start w:w="180" w:type="dxa"/>
              <w:bottom w:w="150" w:type="dxa"/>
              <w:end w:w="180" w:type="dxa"/>
            </w:tcMar>
            <w:vAlign w:val="center"/>
            <w:shd w:fill="FDF4EE"/>
          </w:tcPr>
          <w:p>
            <w:pPr>
              <w:spacing w:after="60"/>
            </w:pPr>
            <w:r>
              <w:rPr>
                <w:rFonts w:ascii="Calibri" w:hAnsi="Calibri"/>
                <w:b/>
                <w:color w:val="ED7A3B"/>
                <w:sz w:val="16"/>
              </w:rPr>
              <w:t>SIMPLE ROUTING RULE</w:t>
            </w:r>
          </w:p>
          <w:p>
            <w:pPr>
              <w:spacing w:after="0"/>
            </w:pPr>
            <w:r>
              <w:rPr>
                <w:rFonts w:ascii="Calibri" w:hAnsi="Calibri"/>
                <w:color w:val="10140E"/>
                <w:sz w:val="21"/>
              </w:rPr>
              <w:t>If the public website page, Sanity content, or outbound link is wrong, contact the website team. If the link opens correctly but the LMS course or mobile app has a problem, contact that product's separate development team.</w:t>
            </w:r>
          </w:p>
        </w:tc>
      </w:tr>
    </w:tbl>
    <w:p>
      <w:pPr>
        <w:spacing w:after="40"/>
      </w:pPr>
    </w:p>
    <w:p>
      <w:r>
        <w:br w:type="page"/>
      </w:r>
    </w:p>
    <w:p>
      <w:pPr>
        <w:pStyle w:val="Heading1"/>
        <w:keepNext/>
      </w:pPr>
      <w:r>
        <w:t>8. Update Site Settings</w:t>
      </w:r>
    </w:p>
    <w:p>
      <w:pPr>
        <w:spacing w:after="120"/>
      </w:pPr>
      <w:r>
        <w:rPr>
          <w:rFonts w:ascii="Calibri" w:hAnsi="Calibri"/>
          <w:color w:val="10140E"/>
          <w:sz w:val="22"/>
        </w:rPr>
        <w:t>Site Settings is one shared record. Publishing it can change more than one page, so review the affected areas after a meaningful edit.</w:t>
      </w:r>
    </w:p>
    <w:p>
      <w:pPr>
        <w:pStyle w:val="Heading2"/>
        <w:keepNext/>
      </w:pPr>
      <w:r>
        <w:t>Contact and community information</w:t>
      </w:r>
    </w:p>
    <w:p>
      <w:pPr>
        <w:keepNext w:val="0"/>
        <w:numPr>
          <w:ilvl w:val="0"/>
          <w:numId w:val="10"/>
        </w:numPr>
      </w:pPr>
      <w:r>
        <w:rPr>
          <w:rFonts w:ascii="Calibri" w:hAnsi="Calibri"/>
          <w:color w:val="10140E"/>
          <w:sz w:val="22"/>
        </w:rPr>
        <w:t>Public email, primary phone, optional secondary phone, and address.</w:t>
      </w:r>
    </w:p>
    <w:p>
      <w:pPr>
        <w:keepNext w:val="0"/>
        <w:numPr>
          <w:ilvl w:val="0"/>
          <w:numId w:val="10"/>
        </w:numPr>
      </w:pPr>
      <w:r>
        <w:rPr>
          <w:rFonts w:ascii="Calibri" w:hAnsi="Calibri"/>
          <w:color w:val="10140E"/>
          <w:sz w:val="22"/>
        </w:rPr>
        <w:t>Instagram, LinkedIn, Facebook, YouTube, Telegram, and WhatsApp links.</w:t>
      </w:r>
    </w:p>
    <w:p>
      <w:pPr>
        <w:keepNext w:val="0"/>
        <w:numPr>
          <w:ilvl w:val="0"/>
          <w:numId w:val="10"/>
        </w:numPr>
      </w:pPr>
      <w:r>
        <w:rPr>
          <w:rFonts w:ascii="Calibri" w:hAnsi="Calibri"/>
          <w:color w:val="10140E"/>
          <w:sz w:val="22"/>
        </w:rPr>
        <w:t>The Contact page can show both phone numbers; the footer keeps the primary number for a cleaner layout.</w:t>
      </w:r>
    </w:p>
    <w:p>
      <w:pPr>
        <w:pStyle w:val="Heading2"/>
        <w:keepNext/>
      </w:pPr>
      <w:r>
        <w:t>Mobile-app promotion</w:t>
      </w:r>
    </w:p>
    <w:p>
      <w:pPr>
        <w:spacing w:after="120"/>
      </w:pPr>
      <w:r>
        <w:rPr>
          <w:rFonts w:ascii="Calibri" w:hAnsi="Calibri"/>
          <w:color w:val="10140E"/>
          <w:sz w:val="22"/>
        </w:rPr>
        <w:t>These fields only control promotion on the public website. They do not publish, configure, or support the mobile app itself.</w:t>
      </w:r>
    </w:p>
    <w:p>
      <w:pPr>
        <w:keepNext w:val="0"/>
        <w:numPr>
          <w:ilvl w:val="0"/>
          <w:numId w:val="10"/>
        </w:numPr>
      </w:pPr>
      <w:r>
        <w:rPr>
          <w:rFonts w:ascii="Calibri" w:hAnsi="Calibri"/>
          <w:color w:val="10140E"/>
          <w:sz w:val="22"/>
        </w:rPr>
        <w:t>Leave the status Hidden until the rollout has written approval.</w:t>
      </w:r>
    </w:p>
    <w:p>
      <w:pPr>
        <w:keepNext w:val="0"/>
        <w:numPr>
          <w:ilvl w:val="0"/>
          <w:numId w:val="10"/>
        </w:numPr>
      </w:pPr>
      <w:r>
        <w:rPr>
          <w:rFonts w:ascii="Calibri" w:hAnsi="Calibri"/>
          <w:color w:val="10140E"/>
          <w:sz w:val="22"/>
        </w:rPr>
        <w:t>Use Coming soon only with approved copy. Do not add unconfirmed dates, features, store links, or badges.</w:t>
      </w:r>
    </w:p>
    <w:p>
      <w:pPr>
        <w:keepNext w:val="0"/>
        <w:numPr>
          <w:ilvl w:val="0"/>
          <w:numId w:val="10"/>
        </w:numPr>
      </w:pPr>
      <w:r>
        <w:rPr>
          <w:rFonts w:ascii="Calibri" w:hAnsi="Calibri"/>
          <w:color w:val="10140E"/>
          <w:sz w:val="22"/>
        </w:rPr>
        <w:t>Use Live only after the public store links are real and verified.</w:t>
      </w:r>
    </w:p>
    <w:p>
      <w:pPr>
        <w:keepNext w:val="0"/>
        <w:numPr>
          <w:ilvl w:val="0"/>
          <w:numId w:val="10"/>
        </w:numPr>
      </w:pPr>
      <w:r>
        <w:rPr>
          <w:rFonts w:ascii="Calibri" w:hAnsi="Calibri"/>
          <w:color w:val="10140E"/>
          <w:sz w:val="22"/>
        </w:rPr>
        <w:t>The setting is shared across Home, Community, and the footer; check all three after publishing.</w:t>
      </w:r>
    </w:p>
    <w:tbl>
      <w:tblPr>
        <w:tblW w:type="dxa" w:w="9360"/>
        <w:jc w:val="left"/>
        <w:tblLayout w:type="fixed"/>
        <w:tblLook w:firstColumn="1" w:firstRow="1" w:lastColumn="0" w:lastRow="0" w:noHBand="0" w:noVBand="1" w:val="04A0"/>
        <w:tblInd w:w="120" w:type="dxa"/>
        <w:tblBorders>
          <w:top w:val="single" w:sz="5" w:space="0" w:color="DDE5DA"/>
          <w:left w:val="single" w:sz="5" w:space="0" w:color="DDE5DA"/>
          <w:bottom w:val="single" w:sz="5" w:space="0" w:color="DDE5DA"/>
          <w:right w:val="single" w:sz="5" w:space="0" w:color="DDE5DA"/>
        </w:tblBorders>
      </w:tblPr>
      <w:tblGrid>
        <w:gridCol w:w="9360"/>
      </w:tblGrid>
      <w:tr>
        <w:tc>
          <w:tcPr>
            <w:tcW w:type="dxa" w:w="9360"/>
            <w:tcMar>
              <w:top w:w="150" w:type="dxa"/>
              <w:start w:w="180" w:type="dxa"/>
              <w:bottom w:w="150" w:type="dxa"/>
              <w:end w:w="180" w:type="dxa"/>
            </w:tcMar>
            <w:vAlign w:val="center"/>
            <w:shd w:fill="FDF4EE"/>
          </w:tcPr>
          <w:p>
            <w:pPr>
              <w:spacing w:after="60"/>
            </w:pPr>
            <w:r>
              <w:rPr>
                <w:rFonts w:ascii="Calibri" w:hAnsi="Calibri"/>
                <w:b/>
                <w:color w:val="ED7A3B"/>
                <w:sz w:val="16"/>
              </w:rPr>
              <w:t>SAFEST DEFAULT</w:t>
            </w:r>
          </w:p>
          <w:p>
            <w:pPr>
              <w:spacing w:after="0"/>
            </w:pPr>
            <w:r>
              <w:rPr>
                <w:rFonts w:ascii="Calibri" w:hAnsi="Calibri"/>
                <w:color w:val="10140E"/>
                <w:sz w:val="21"/>
              </w:rPr>
              <w:t>If the app rollout is not ready, leave the promotion Hidden. There is no need to publish a placeholder announcement merely because the fields exist.</w:t>
            </w:r>
          </w:p>
        </w:tc>
      </w:tr>
    </w:tbl>
    <w:p>
      <w:pPr>
        <w:spacing w:after="40"/>
      </w:pPr>
    </w:p>
    <w:p>
      <w:r>
        <w:br w:type="page"/>
      </w:r>
    </w:p>
    <w:p>
      <w:pPr>
        <w:pStyle w:val="Heading1"/>
        <w:keepNext/>
      </w:pPr>
      <w:r>
        <w:t>9. Testimonials, FAQs, team and advisors</w:t>
      </w:r>
    </w:p>
    <w:p>
      <w:pPr>
        <w:spacing w:after="120"/>
      </w:pPr>
      <w:r>
        <w:rPr>
          <w:rFonts w:ascii="Calibri" w:hAnsi="Calibri"/>
          <w:color w:val="10140E"/>
          <w:sz w:val="22"/>
        </w:rPr>
        <w:t>These records are grouped by where they appear. Create from the specific group rather than looking for a generic list.</w:t>
      </w:r>
    </w:p>
    <w:p>
      <w:pPr>
        <w:keepNext w:val="0"/>
        <w:numPr>
          <w:ilvl w:val="0"/>
          <w:numId w:val="10"/>
        </w:numPr>
      </w:pPr>
      <w:r>
        <w:rPr>
          <w:rFonts w:ascii="Calibri" w:hAnsi="Calibri"/>
          <w:color w:val="10140E"/>
          <w:sz w:val="22"/>
        </w:rPr>
        <w:t>Testimonials: Home, Academy, or Partner Voices.</w:t>
      </w:r>
    </w:p>
    <w:p>
      <w:pPr>
        <w:keepNext w:val="0"/>
        <w:numPr>
          <w:ilvl w:val="0"/>
          <w:numId w:val="10"/>
        </w:numPr>
      </w:pPr>
      <w:r>
        <w:rPr>
          <w:rFonts w:ascii="Calibri" w:hAnsi="Calibri"/>
          <w:color w:val="10140E"/>
          <w:sz w:val="22"/>
        </w:rPr>
        <w:t>FAQs: Home &amp; Contact, Academy, Community, or Partners.</w:t>
      </w:r>
    </w:p>
    <w:p>
      <w:pPr>
        <w:keepNext w:val="0"/>
        <w:numPr>
          <w:ilvl w:val="0"/>
          <w:numId w:val="10"/>
        </w:numPr>
      </w:pPr>
      <w:r>
        <w:rPr>
          <w:rFonts w:ascii="Calibri" w:hAnsi="Calibri"/>
          <w:color w:val="10140E"/>
          <w:sz w:val="22"/>
        </w:rPr>
        <w:t>Team &amp; Advisors: Team or Advisors.</w:t>
      </w:r>
    </w:p>
    <w:p>
      <w:pPr>
        <w:pStyle w:val="Heading2"/>
        <w:keepNext/>
      </w:pPr>
      <w:r>
        <w:t>Team and advisor photographs</w:t>
      </w:r>
    </w:p>
    <w:p>
      <w:pPr>
        <w:keepNext w:val="0"/>
        <w:numPr>
          <w:ilvl w:val="0"/>
          <w:numId w:val="15"/>
        </w:numPr>
      </w:pPr>
      <w:r>
        <w:rPr>
          <w:rFonts w:ascii="Calibri" w:hAnsi="Calibri"/>
          <w:color w:val="10140E"/>
          <w:sz w:val="22"/>
        </w:rPr>
        <w:t>Upload a clear portrait. An original around 1200 × 1600 pixels or larger is a useful target.</w:t>
      </w:r>
    </w:p>
    <w:p>
      <w:pPr>
        <w:keepNext w:val="0"/>
        <w:numPr>
          <w:ilvl w:val="0"/>
          <w:numId w:val="15"/>
        </w:numPr>
      </w:pPr>
      <w:r>
        <w:rPr>
          <w:rFonts w:ascii="Calibri" w:hAnsi="Calibri"/>
          <w:color w:val="10140E"/>
          <w:sz w:val="22"/>
        </w:rPr>
        <w:t>Open the crop/hotspot tool. Use crop only to remove an edge that should never appear.</w:t>
      </w:r>
    </w:p>
    <w:p>
      <w:pPr>
        <w:keepNext w:val="0"/>
        <w:numPr>
          <w:ilvl w:val="0"/>
          <w:numId w:val="15"/>
        </w:numPr>
      </w:pPr>
      <w:r>
        <w:rPr>
          <w:rFonts w:ascii="Calibri" w:hAnsi="Calibri"/>
          <w:color w:val="10140E"/>
          <w:sz w:val="22"/>
        </w:rPr>
        <w:t>Place the hotspot on the person’s face so the important area survives different image shapes.</w:t>
      </w:r>
    </w:p>
    <w:p>
      <w:pPr>
        <w:keepNext w:val="0"/>
        <w:numPr>
          <w:ilvl w:val="0"/>
          <w:numId w:val="15"/>
        </w:numPr>
      </w:pPr>
      <w:r>
        <w:rPr>
          <w:rFonts w:ascii="Calibri" w:hAnsi="Calibri"/>
          <w:color w:val="10140E"/>
          <w:sz w:val="22"/>
        </w:rPr>
        <w:t>Check the Team card, Advisor card, and Profile dialog previews. These are previews of one source image, not separate uploads.</w:t>
      </w:r>
    </w:p>
    <w:p>
      <w:pPr>
        <w:keepNext w:val="0"/>
        <w:numPr>
          <w:ilvl w:val="0"/>
          <w:numId w:val="15"/>
        </w:numPr>
      </w:pPr>
      <w:r>
        <w:rPr>
          <w:rFonts w:ascii="Calibri" w:hAnsi="Calibri"/>
          <w:color w:val="10140E"/>
          <w:sz w:val="22"/>
        </w:rPr>
        <w:t>Keep the crop reasonably loose, publish, then check the About card and profile dialog.</w:t>
      </w:r>
    </w:p>
    <w:tbl>
      <w:tblPr>
        <w:tblW w:type="dxa" w:w="9360"/>
        <w:jc w:val="left"/>
        <w:tblLayout w:type="fixed"/>
        <w:tblLook w:firstColumn="1" w:firstRow="1" w:lastColumn="0" w:lastRow="0" w:noHBand="0" w:noVBand="1" w:val="04A0"/>
        <w:tblInd w:w="120" w:type="dxa"/>
        <w:tblBorders>
          <w:top w:val="single" w:sz="5" w:space="0" w:color="DDE5DA"/>
          <w:left w:val="single" w:sz="5" w:space="0" w:color="DDE5DA"/>
          <w:bottom w:val="single" w:sz="5" w:space="0" w:color="DDE5DA"/>
          <w:right w:val="single" w:sz="5" w:space="0" w:color="DDE5DA"/>
        </w:tblBorders>
      </w:tblPr>
      <w:tblGrid>
        <w:gridCol w:w="9360"/>
      </w:tblGrid>
      <w:tr>
        <w:tc>
          <w:tcPr>
            <w:tcW w:type="dxa" w:w="9360"/>
            <w:tcMar>
              <w:top w:w="150" w:type="dxa"/>
              <w:start w:w="180" w:type="dxa"/>
              <w:bottom w:w="150" w:type="dxa"/>
              <w:end w:w="180" w:type="dxa"/>
            </w:tcMar>
            <w:vAlign w:val="center"/>
            <w:shd w:fill="F4FAE9"/>
          </w:tcPr>
          <w:p>
            <w:pPr>
              <w:spacing w:after="60"/>
            </w:pPr>
            <w:r>
              <w:rPr>
                <w:rFonts w:ascii="Calibri" w:hAnsi="Calibri"/>
                <w:b/>
                <w:color w:val="24361B"/>
                <w:sz w:val="16"/>
              </w:rPr>
              <w:t>CROP VERSUS HOTSPOT</w:t>
            </w:r>
          </w:p>
          <w:p>
            <w:pPr>
              <w:spacing w:after="0"/>
            </w:pPr>
            <w:r>
              <w:rPr>
                <w:rFonts w:ascii="Calibri" w:hAnsi="Calibri"/>
                <w:color w:val="10140E"/>
                <w:sz w:val="21"/>
              </w:rPr>
              <w:t>Crop permanently removes an area from every version. Hotspot tells the website what to protect when the image is displayed as a wide card, square card, or portrait.</w:t>
            </w:r>
          </w:p>
        </w:tc>
      </w:tr>
    </w:tbl>
    <w:p>
      <w:pPr>
        <w:spacing w:after="40"/>
      </w:pPr>
    </w:p>
    <w:p>
      <w:r>
        <w:br w:type="page"/>
      </w:r>
    </w:p>
    <w:p>
      <w:pPr>
        <w:pStyle w:val="Heading1"/>
        <w:keepNext/>
      </w:pPr>
      <w:r>
        <w:t>10. Images and safe editing habits</w:t>
      </w:r>
    </w:p>
    <w:p>
      <w:pPr>
        <w:keepNext w:val="0"/>
        <w:numPr>
          <w:ilvl w:val="0"/>
          <w:numId w:val="10"/>
        </w:numPr>
      </w:pPr>
      <w:r>
        <w:rPr>
          <w:rFonts w:ascii="Calibri" w:hAnsi="Calibri"/>
          <w:color w:val="10140E"/>
          <w:sz w:val="22"/>
        </w:rPr>
        <w:t>Fill in alt text whenever the field requests it. Describe what the image shows in a short, useful sentence.</w:t>
      </w:r>
    </w:p>
    <w:p>
      <w:pPr>
        <w:keepNext w:val="0"/>
        <w:numPr>
          <w:ilvl w:val="0"/>
          <w:numId w:val="10"/>
        </w:numPr>
      </w:pPr>
      <w:r>
        <w:rPr>
          <w:rFonts w:ascii="Calibri" w:hAnsi="Calibri"/>
          <w:color w:val="10140E"/>
          <w:sz w:val="22"/>
        </w:rPr>
        <w:t>Avoid enlarging a small image before uploading it; that does not restore lost quality.</w:t>
      </w:r>
    </w:p>
    <w:p>
      <w:pPr>
        <w:keepNext w:val="0"/>
        <w:numPr>
          <w:ilvl w:val="0"/>
          <w:numId w:val="10"/>
        </w:numPr>
      </w:pPr>
      <w:r>
        <w:rPr>
          <w:rFonts w:ascii="Calibri" w:hAnsi="Calibri"/>
          <w:color w:val="10140E"/>
          <w:sz w:val="22"/>
        </w:rPr>
        <w:t>Slugs normally fill from the title. Avoid changing a published slug casually because shared links may stop working.</w:t>
      </w:r>
    </w:p>
    <w:p>
      <w:pPr>
        <w:keepNext w:val="0"/>
        <w:numPr>
          <w:ilvl w:val="0"/>
          <w:numId w:val="10"/>
        </w:numPr>
      </w:pPr>
      <w:r>
        <w:rPr>
          <w:rFonts w:ascii="Calibri" w:hAnsi="Calibri"/>
          <w:color w:val="10140E"/>
          <w:sz w:val="22"/>
        </w:rPr>
        <w:t>Ignore fields marked Legacy or hidden/legacy unless the website developer gives specific instructions.</w:t>
      </w:r>
    </w:p>
    <w:p>
      <w:pPr>
        <w:keepNext w:val="0"/>
        <w:numPr>
          <w:ilvl w:val="0"/>
          <w:numId w:val="10"/>
        </w:numPr>
      </w:pPr>
      <w:r>
        <w:rPr>
          <w:rFonts w:ascii="Calibri" w:hAnsi="Calibri"/>
          <w:color w:val="10140E"/>
          <w:sz w:val="22"/>
        </w:rPr>
        <w:t>Do not delete Site Settings, Home, or About.</w:t>
      </w:r>
    </w:p>
    <w:p>
      <w:pPr>
        <w:keepNext w:val="0"/>
        <w:numPr>
          <w:ilvl w:val="0"/>
          <w:numId w:val="10"/>
        </w:numPr>
      </w:pPr>
      <w:r>
        <w:rPr>
          <w:rFonts w:ascii="Calibri" w:hAnsi="Calibri"/>
          <w:color w:val="10140E"/>
          <w:sz w:val="22"/>
        </w:rPr>
        <w:t>Do not place passwords, private form data, API keys, or recovery codes in CMS content fields.</w:t>
      </w:r>
    </w:p>
    <w:p>
      <w:pPr>
        <w:pStyle w:val="Heading1"/>
        <w:keepNext/>
      </w:pPr>
      <w:r>
        <w:t>11. Quick check before publishing</w:t>
      </w:r>
    </w:p>
    <w:p>
      <w:pPr>
        <w:keepNext w:val="0"/>
        <w:numPr>
          <w:ilvl w:val="0"/>
          <w:numId w:val="10"/>
        </w:numPr>
      </w:pPr>
      <w:r>
        <w:rPr>
          <w:rFonts w:ascii="Calibri" w:hAnsi="Calibri"/>
          <w:color w:val="10140E"/>
          <w:sz w:val="22"/>
        </w:rPr>
        <w:t>The title, excerpt, dates, category, author, and links are correct.</w:t>
      </w:r>
    </w:p>
    <w:p>
      <w:pPr>
        <w:keepNext w:val="0"/>
        <w:numPr>
          <w:ilvl w:val="0"/>
          <w:numId w:val="10"/>
        </w:numPr>
      </w:pPr>
      <w:r>
        <w:rPr>
          <w:rFonts w:ascii="Calibri" w:hAnsi="Calibri"/>
          <w:color w:val="10140E"/>
          <w:sz w:val="22"/>
        </w:rPr>
        <w:t>Images are clear and alt text is present where required.</w:t>
      </w:r>
    </w:p>
    <w:p>
      <w:pPr>
        <w:keepNext w:val="0"/>
        <w:numPr>
          <w:ilvl w:val="0"/>
          <w:numId w:val="10"/>
        </w:numPr>
      </w:pPr>
      <w:r>
        <w:rPr>
          <w:rFonts w:ascii="Calibri" w:hAnsi="Calibri"/>
          <w:color w:val="10140E"/>
          <w:sz w:val="22"/>
        </w:rPr>
        <w:t>The content is approved and does not contain placeholder information.</w:t>
      </w:r>
    </w:p>
    <w:p>
      <w:pPr>
        <w:keepNext w:val="0"/>
        <w:numPr>
          <w:ilvl w:val="0"/>
          <w:numId w:val="10"/>
        </w:numPr>
      </w:pPr>
      <w:r>
        <w:rPr>
          <w:rFonts w:ascii="Calibri" w:hAnsi="Calibri"/>
          <w:color w:val="10140E"/>
          <w:sz w:val="22"/>
        </w:rPr>
        <w:t>The correct registration mode and approved public LMS/course URL are selected where relevant.</w:t>
      </w:r>
    </w:p>
    <w:p>
      <w:pPr>
        <w:keepNext w:val="0"/>
        <w:numPr>
          <w:ilvl w:val="0"/>
          <w:numId w:val="10"/>
        </w:numPr>
      </w:pPr>
      <w:r>
        <w:rPr>
          <w:rFonts w:ascii="Calibri" w:hAnsi="Calibri"/>
          <w:color w:val="10140E"/>
          <w:sz w:val="22"/>
        </w:rPr>
        <w:t>You know which public page should change after publishing.</w:t>
      </w:r>
    </w:p>
    <w:p>
      <w:pPr>
        <w:pStyle w:val="Heading2"/>
        <w:keepNext/>
      </w:pPr>
      <w:r>
        <w:t>If something does not appear</w:t>
      </w:r>
    </w:p>
    <w:p>
      <w:pPr>
        <w:spacing w:after="120"/>
      </w:pPr>
      <w:r>
        <w:rPr>
          <w:rFonts w:ascii="Calibri" w:hAnsi="Calibri"/>
          <w:color w:val="10140E"/>
          <w:sz w:val="22"/>
        </w:rPr>
        <w:t>First check that you clicked Publish rather than only creating a Draft. Then wait a few seconds and refresh the public page. If the issue remains, send the website developer the CMS record name, public page URL, expected result, and a screenshot.</w:t>
      </w:r>
    </w:p>
    <w:tbl>
      <w:tblPr>
        <w:tblW w:type="dxa" w:w="9360"/>
        <w:jc w:val="left"/>
        <w:tblLayout w:type="fixed"/>
        <w:tblLook w:firstColumn="1" w:firstRow="1" w:lastColumn="0" w:lastRow="0" w:noHBand="0" w:noVBand="1" w:val="04A0"/>
        <w:tblInd w:w="120" w:type="dxa"/>
        <w:tblBorders>
          <w:top w:val="single" w:sz="5" w:space="0" w:color="DDE5DA"/>
          <w:left w:val="single" w:sz="5" w:space="0" w:color="DDE5DA"/>
          <w:bottom w:val="single" w:sz="5" w:space="0" w:color="DDE5DA"/>
          <w:right w:val="single" w:sz="5" w:space="0" w:color="DDE5DA"/>
        </w:tblBorders>
      </w:tblPr>
      <w:tblGrid>
        <w:gridCol w:w="9360"/>
      </w:tblGrid>
      <w:tr>
        <w:tc>
          <w:tcPr>
            <w:tcW w:type="dxa" w:w="9360"/>
            <w:tcMar>
              <w:top w:w="150" w:type="dxa"/>
              <w:start w:w="180" w:type="dxa"/>
              <w:bottom w:w="150" w:type="dxa"/>
              <w:end w:w="180" w:type="dxa"/>
            </w:tcMar>
            <w:vAlign w:val="center"/>
            <w:shd w:fill="F4FAE9"/>
          </w:tcPr>
          <w:p>
            <w:pPr>
              <w:spacing w:after="60"/>
            </w:pPr>
            <w:r>
              <w:rPr>
                <w:rFonts w:ascii="Calibri" w:hAnsi="Calibri"/>
                <w:b/>
                <w:color w:val="24361B"/>
                <w:sz w:val="16"/>
              </w:rPr>
              <w:t>REMEMBER</w:t>
            </w:r>
          </w:p>
          <w:p>
            <w:pPr>
              <w:spacing w:after="0"/>
            </w:pPr>
            <w:r>
              <w:rPr>
                <w:rFonts w:ascii="Calibri" w:hAnsi="Calibri"/>
                <w:color w:val="10140E"/>
                <w:sz w:val="21"/>
              </w:rPr>
              <w:t>Draft, review, publish, then check the public page. That simple sequence prevents most content-editing mistakes.</w:t>
            </w:r>
          </w:p>
        </w:tc>
      </w:tr>
    </w:tbl>
    <w:p>
      <w:pPr>
        <w:spacing w:after="40"/>
      </w:pPr>
    </w:p>
    <w:sectPr w:rsidR="00FC693F" w:rsidRPr="0006063C" w:rsidSect="00034616">
      <w:headerReference w:type="default" r:id="rId9"/>
      <w:headerReference w:type="even" r:id="rId10"/>
      <w:footerReference w:type="default" r:id="rId11"/>
      <w:footerReference w:type="even" r:id="rId12"/>
      <w:pgSz w:w="12240" w:h="15840"/>
      <w:pgMar w:top="1152"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500"/>
      <w:gridCol w:w="2860"/>
    </w:tblGrid>
    <w:tr>
      <w:tc>
        <w:tcPr>
          <w:tcW w:type="dxa" w:w="6500"/>
          <w:tcMar>
            <w:top w:w="80" w:type="dxa"/>
            <w:start w:w="120" w:type="dxa"/>
            <w:bottom w:w="80" w:type="dxa"/>
            <w:end w:w="120" w:type="dxa"/>
          </w:tcMar>
          <w:vAlign w:val="center"/>
        </w:tcPr>
        <w:p>
          <w:pPr>
            <w:spacing w:after="0"/>
          </w:pPr>
          <w:r>
            <w:rPr>
              <w:rFonts w:ascii="Calibri" w:hAnsi="Calibri"/>
              <w:color w:val="828E7B"/>
              <w:sz w:val="17"/>
            </w:rPr>
            <w:t>iproduceafrica.com</w:t>
          </w:r>
        </w:p>
      </w:tc>
      <w:tc>
        <w:tcPr>
          <w:tcW w:type="dxa" w:w="2860"/>
          <w:tcMar>
            <w:top w:w="80" w:type="dxa"/>
            <w:start w:w="120" w:type="dxa"/>
            <w:bottom w:w="80" w:type="dxa"/>
            <w:end w:w="120" w:type="dxa"/>
          </w:tcMar>
          <w:vAlign w:val="center"/>
        </w:tcPr>
        <w:p>
          <w:pPr>
            <w:spacing w:after="0"/>
            <w:jc w:val="right"/>
          </w:pPr>
          <w:r>
            <w:rPr>
              <w:rFonts w:ascii="Calibri" w:hAnsi="Calibri"/>
              <w:color w:val="828E7B"/>
              <w:sz w:val="17"/>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500"/>
      <w:gridCol w:w="2860"/>
    </w:tblGrid>
    <w:tr>
      <w:tc>
        <w:tcPr>
          <w:tcW w:type="dxa" w:w="6500"/>
          <w:tcMar>
            <w:top w:w="80" w:type="dxa"/>
            <w:start w:w="120" w:type="dxa"/>
            <w:bottom w:w="80" w:type="dxa"/>
            <w:end w:w="120" w:type="dxa"/>
          </w:tcMar>
          <w:vAlign w:val="center"/>
        </w:tcPr>
        <w:p>
          <w:pPr>
            <w:spacing w:after="0"/>
          </w:pPr>
          <w:r>
            <w:rPr>
              <w:rFonts w:ascii="Calibri" w:hAnsi="Calibri"/>
              <w:color w:val="828E7B"/>
              <w:sz w:val="17"/>
            </w:rPr>
            <w:t>iproduceafrica.com</w:t>
          </w:r>
        </w:p>
      </w:tc>
      <w:tc>
        <w:tcPr>
          <w:tcW w:type="dxa" w:w="2860"/>
          <w:tcMar>
            <w:top w:w="80" w:type="dxa"/>
            <w:start w:w="120" w:type="dxa"/>
            <w:bottom w:w="80" w:type="dxa"/>
            <w:end w:w="120" w:type="dxa"/>
          </w:tcMar>
          <w:vAlign w:val="center"/>
        </w:tcPr>
        <w:p>
          <w:pPr>
            <w:spacing w:after="0"/>
            <w:jc w:val="right"/>
          </w:pPr>
          <w:r>
            <w:rPr>
              <w:rFonts w:ascii="Calibri" w:hAnsi="Calibri"/>
              <w:color w:val="828E7B"/>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24361B"/>
        <w:sz w:val="17"/>
      </w:rPr>
      <w:t>iProduce Africa</w:t>
    </w:r>
    <w:r>
      <w:rPr>
        <w:rFonts w:ascii="Calibri" w:hAnsi="Calibri"/>
        <w:color w:val="828E7B"/>
        <w:sz w:val="17"/>
      </w:rPr>
      <w:t xml:space="preserve">  |  iProduce Africa CMS Editor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24361B"/>
        <w:sz w:val="17"/>
      </w:rPr>
      <w:t>iProduce Africa</w:t>
    </w:r>
    <w:r>
      <w:rPr>
        <w:rFonts w:ascii="Calibri" w:hAnsi="Calibri"/>
        <w:color w:val="828E7B"/>
        <w:sz w:val="17"/>
      </w:rPr>
      <w:t xml:space="preserve">  |  iProduce Africa CMS Editor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0140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4361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4361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6230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iproduceafrica.com/ad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iProduce Africa CMS Editor Guide</dc:title>
  <dc:subject>Client guide for editing website content in Sanity Studio</dc:subject>
  <dc:creator>iProduce Africa Website Project</dc:creator>
  <cp:keywords>iProduce Africa, website, handover, CMS</cp:keywords>
  <dc:description>generated by python-docx</dc:description>
  <cp:lastModifiedBy/>
  <cp:revision>1</cp:revision>
  <dcterms:created xsi:type="dcterms:W3CDTF">2013-12-23T23:15:00Z</dcterms:created>
  <dcterms:modified xsi:type="dcterms:W3CDTF">2013-12-23T23:15:00Z</dcterms:modified>
  <cp:category/>
</cp:coreProperties>
</file>