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pPr>
      <w:r>
        <w:drawing>
          <wp:inline xmlns:a="http://schemas.openxmlformats.org/drawingml/2006/main" xmlns:pic="http://schemas.openxmlformats.org/drawingml/2006/picture">
            <wp:extent cx="1737360" cy="770954"/>
            <wp:docPr id="1" name="Picture 1" title="iProduce Africa logo" descr="iProduce Africa Agribusiness Hub logo"/>
            <wp:cNvGraphicFramePr>
              <a:graphicFrameLocks noChangeAspect="1"/>
            </wp:cNvGraphicFramePr>
            <a:graphic>
              <a:graphicData uri="http://schemas.openxmlformats.org/drawingml/2006/picture">
                <pic:pic>
                  <pic:nvPicPr>
                    <pic:cNvPr id="0" name="email-logo.png"/>
                    <pic:cNvPicPr/>
                  </pic:nvPicPr>
                  <pic:blipFill>
                    <a:blip r:embed="rId13"/>
                    <a:stretch>
                      <a:fillRect/>
                    </a:stretch>
                  </pic:blipFill>
                  <pic:spPr>
                    <a:xfrm>
                      <a:off x="0" y="0"/>
                      <a:ext cx="1737360" cy="770954"/>
                    </a:xfrm>
                    <a:prstGeom prst="rect"/>
                  </pic:spPr>
                </pic:pic>
              </a:graphicData>
            </a:graphic>
          </wp:inline>
        </w:drawing>
      </w:r>
    </w:p>
    <w:p>
      <w:pPr>
        <w:spacing w:before="40" w:after="60"/>
      </w:pPr>
      <w:r>
        <w:rPr>
          <w:rFonts w:ascii="Calibri" w:hAnsi="Calibri"/>
          <w:b/>
          <w:color w:val="ED7A3B"/>
          <w:sz w:val="18"/>
        </w:rPr>
        <w:t>WEBSITE HANDOVER PACK</w:t>
      </w:r>
    </w:p>
    <w:p>
      <w:pPr>
        <w:spacing w:before="0" w:after="100"/>
      </w:pPr>
      <w:r>
        <w:rPr>
          <w:rFonts w:ascii="Calibri" w:hAnsi="Calibri"/>
          <w:b/>
          <w:color w:val="16230F"/>
          <w:sz w:val="52"/>
        </w:rPr>
        <w:t>iProduce Africa Website</w:t>
      </w:r>
    </w:p>
    <w:p>
      <w:pPr>
        <w:spacing w:before="0" w:after="200"/>
      </w:pPr>
      <w:r>
        <w:rPr>
          <w:rFonts w:ascii="Calibri" w:hAnsi="Calibri"/>
          <w:color w:val="5C6655"/>
          <w:sz w:val="25"/>
        </w:rPr>
        <w:t>A concise operational guide to the live website, content management, responsibilities, access, and next steps.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2700"/>
        <w:gridCol w:w="3300"/>
        <w:gridCol w:w="3360"/>
      </w:tblGrid>
      <w:tr>
        <w:tc>
          <w:tcPr>
            <w:tcW w:type="dxa" w:w="2700"/>
            <w:tcMar>
              <w:top w:w="80" w:type="dxa"/>
              <w:start w:w="120" w:type="dxa"/>
              <w:bottom w:w="80" w:type="dxa"/>
              <w:end w:w="120" w:type="dxa"/>
            </w:tcMar>
            <w:vAlign w:val="center"/>
            <w:shd w:fill="FDF4EE"/>
          </w:tcPr>
          <w:p>
            <w:pPr>
              <w:spacing w:before="40" w:after="20"/>
            </w:pPr>
            <w:r>
              <w:rPr>
                <w:rFonts w:ascii="Calibri" w:hAnsi="Calibri"/>
                <w:b/>
                <w:color w:val="828E7B"/>
                <w:sz w:val="15"/>
              </w:rPr>
              <w:t>STATUS</w:t>
              <w:br/>
            </w:r>
            <w:r>
              <w:rPr>
                <w:rFonts w:ascii="Calibri" w:hAnsi="Calibri"/>
                <w:b/>
                <w:color w:val="10140E"/>
                <w:sz w:val="19"/>
              </w:rPr>
              <w:t>DRAFT FOR REVIEW</w:t>
            </w:r>
          </w:p>
        </w:tc>
        <w:tc>
          <w:tcPr>
            <w:tcW w:type="dxa" w:w="3300"/>
            <w:tcMar>
              <w:top w:w="80" w:type="dxa"/>
              <w:start w:w="120" w:type="dxa"/>
              <w:bottom w:w="80" w:type="dxa"/>
              <w:end w:w="120" w:type="dxa"/>
            </w:tcMar>
            <w:vAlign w:val="center"/>
            <w:shd w:fill="F4FAE9"/>
          </w:tcPr>
          <w:p>
            <w:pPr>
              <w:spacing w:before="40" w:after="20"/>
            </w:pPr>
            <w:r>
              <w:rPr>
                <w:rFonts w:ascii="Calibri" w:hAnsi="Calibri"/>
                <w:b/>
                <w:color w:val="828E7B"/>
                <w:sz w:val="15"/>
              </w:rPr>
              <w:t>PREPARED</w:t>
              <w:br/>
            </w:r>
            <w:r>
              <w:rPr>
                <w:rFonts w:ascii="Calibri" w:hAnsi="Calibri"/>
                <w:b/>
                <w:color w:val="10140E"/>
                <w:sz w:val="19"/>
              </w:rPr>
              <w:t>3 August 2026</w:t>
            </w:r>
          </w:p>
        </w:tc>
        <w:tc>
          <w:tcPr>
            <w:tcW w:type="dxa" w:w="3360"/>
            <w:tcMar>
              <w:top w:w="80" w:type="dxa"/>
              <w:start w:w="120" w:type="dxa"/>
              <w:bottom w:w="80" w:type="dxa"/>
              <w:end w:w="120" w:type="dxa"/>
            </w:tcMar>
            <w:vAlign w:val="center"/>
            <w:shd w:fill="F4FAE9"/>
          </w:tcPr>
          <w:p>
            <w:pPr>
              <w:spacing w:before="40" w:after="20"/>
            </w:pPr>
            <w:r>
              <w:rPr>
                <w:rFonts w:ascii="Calibri" w:hAnsi="Calibri"/>
                <w:b/>
                <w:color w:val="828E7B"/>
                <w:sz w:val="15"/>
              </w:rPr>
              <w:t>ISSUE</w:t>
              <w:br/>
            </w:r>
            <w:r>
              <w:rPr>
                <w:rFonts w:ascii="Calibri" w:hAnsi="Calibri"/>
                <w:b/>
                <w:color w:val="10140E"/>
                <w:sz w:val="19"/>
              </w:rPr>
              <w:t>Client review copy</w:t>
            </w:r>
          </w:p>
        </w:tc>
      </w:tr>
    </w:tbl>
    <w:p>
      <w:pPr>
        <w:spacing w:after="0"/>
      </w:pPr>
    </w:p>
    <w:tbl>
      <w:tblPr>
        <w:tblW w:type="dxa" w:w="9360"/>
        <w:jc w:val="left"/>
        <w:tblLayout w:type="fixed"/>
        <w:tblLook w:firstColumn="1" w:firstRow="1" w:lastColumn="0" w:lastRow="0" w:noHBand="0" w:noVBand="1" w:val="04A0"/>
        <w:tblInd w:w="120" w:type="dxa"/>
        <w:tblBorders>
          <w:top w:val="single" w:sz="5" w:space="0" w:color="DDE5DA"/>
          <w:left w:val="single" w:sz="5" w:space="0" w:color="DDE5DA"/>
          <w:bottom w:val="single" w:sz="5" w:space="0" w:color="DDE5DA"/>
          <w:right w:val="single" w:sz="5" w:space="0" w:color="DDE5DA"/>
        </w:tblBorders>
      </w:tblPr>
      <w:tblGrid>
        <w:gridCol w:w="9360"/>
      </w:tblGrid>
      <w:tr>
        <w:tc>
          <w:tcPr>
            <w:tcW w:type="dxa" w:w="9360"/>
            <w:tcMar>
              <w:top w:w="150" w:type="dxa"/>
              <w:start w:w="180" w:type="dxa"/>
              <w:bottom w:w="150" w:type="dxa"/>
              <w:end w:w="180" w:type="dxa"/>
            </w:tcMar>
            <w:vAlign w:val="center"/>
            <w:shd w:fill="F4FAE9"/>
          </w:tcPr>
          <w:p>
            <w:pPr>
              <w:spacing w:after="60"/>
            </w:pPr>
            <w:r>
              <w:rPr>
                <w:rFonts w:ascii="Calibri" w:hAnsi="Calibri"/>
                <w:b/>
                <w:color w:val="24361B"/>
                <w:sz w:val="16"/>
              </w:rPr>
              <w:t>START HERE</w:t>
            </w:r>
          </w:p>
          <w:p>
            <w:pPr>
              <w:spacing w:after="0"/>
            </w:pPr>
            <w:r>
              <w:rPr>
                <w:rFonts w:ascii="Calibri" w:hAnsi="Calibri"/>
                <w:color w:val="10140E"/>
                <w:sz w:val="21"/>
              </w:rPr>
              <w:t>This document is the main client reference. The CMS guide explains routine editing, while the restricted access workbook records service roles and actions. Passwords and secret keys do not belong in any handover document.</w:t>
            </w:r>
          </w:p>
        </w:tc>
      </w:tr>
    </w:tbl>
    <w:p>
      <w:pPr>
        <w:spacing w:after="40"/>
      </w:pPr>
    </w:p>
    <w:p>
      <w:pPr>
        <w:pStyle w:val="Heading1"/>
        <w:keepNext/>
      </w:pPr>
      <w:r>
        <w:t>Important links</w:t>
      </w:r>
    </w:p>
    <w:p>
      <w:pPr>
        <w:spacing w:after="80"/>
      </w:pPr>
      <w:r>
        <w:rPr>
          <w:rFonts w:ascii="Calibri" w:hAnsi="Calibri"/>
          <w:b/>
          <w:color w:val="24361B"/>
          <w:sz w:val="22"/>
        </w:rPr>
        <w:t xml:space="preserve">Live website: </w:t>
      </w:r>
      <w:hyperlink r:id="rId14">
        <w:r>
          <w:rPr>
            <w:rFonts w:ascii="Calibri" w:hAnsi="Calibri"/>
            <w:color w:val="24361B"/>
            <w:u w:val="single"/>
            <w:sz w:val="22"/>
          </w:rPr>
          <w:t>iproduceafrica.com</w:t>
        </w:r>
      </w:hyperlink>
    </w:p>
    <w:p>
      <w:pPr>
        <w:spacing w:after="80"/>
      </w:pPr>
      <w:r>
        <w:rPr>
          <w:rFonts w:ascii="Calibri" w:hAnsi="Calibri"/>
          <w:b/>
          <w:color w:val="24361B"/>
          <w:sz w:val="22"/>
        </w:rPr>
        <w:t xml:space="preserve">Content workspace: </w:t>
      </w:r>
      <w:hyperlink r:id="rId15">
        <w:r>
          <w:rPr>
            <w:rFonts w:ascii="Calibri" w:hAnsi="Calibri"/>
            <w:color w:val="24361B"/>
            <w:u w:val="single"/>
            <w:sz w:val="22"/>
          </w:rPr>
          <w:t>iproduceafrica.com/admin</w:t>
        </w:r>
      </w:hyperlink>
    </w:p>
    <w:p>
      <w:pPr>
        <w:spacing w:after="80"/>
      </w:pPr>
      <w:r>
        <w:rPr>
          <w:rFonts w:ascii="Calibri" w:hAnsi="Calibri"/>
          <w:b/>
          <w:color w:val="24361B"/>
          <w:sz w:val="22"/>
        </w:rPr>
        <w:t xml:space="preserve">Website sitemap: </w:t>
      </w:r>
      <w:hyperlink r:id="rId16">
        <w:r>
          <w:rPr>
            <w:rFonts w:ascii="Calibri" w:hAnsi="Calibri"/>
            <w:color w:val="24361B"/>
            <w:u w:val="single"/>
            <w:sz w:val="22"/>
          </w:rPr>
          <w:t>iproduceafrica.com/sitemap.xml</w:t>
        </w:r>
      </w:hyperlink>
    </w:p>
    <w:p>
      <w:r>
        <w:br w:type="page"/>
      </w:r>
    </w:p>
    <w:p>
      <w:pPr>
        <w:pStyle w:val="Heading1"/>
        <w:keepNext/>
      </w:pPr>
      <w:r>
        <w:t>What has been delivered</w:t>
      </w:r>
    </w:p>
    <w:p>
      <w:pPr>
        <w:keepNext w:val="0"/>
        <w:numPr>
          <w:ilvl w:val="0"/>
          <w:numId w:val="10"/>
        </w:numPr>
      </w:pPr>
      <w:r>
        <w:rPr>
          <w:rFonts w:ascii="Calibri" w:hAnsi="Calibri"/>
          <w:color w:val="10140E"/>
          <w:sz w:val="22"/>
        </w:rPr>
        <w:t>Public website pages for Home, About, Academy, Community, Partners, Contact, and supporting legal information.</w:t>
      </w:r>
    </w:p>
    <w:p>
      <w:pPr>
        <w:keepNext w:val="0"/>
        <w:numPr>
          <w:ilvl w:val="0"/>
          <w:numId w:val="10"/>
        </w:numPr>
      </w:pPr>
      <w:r>
        <w:rPr>
          <w:rFonts w:ascii="Calibri" w:hAnsi="Calibri"/>
          <w:color w:val="10140E"/>
          <w:sz w:val="22"/>
        </w:rPr>
        <w:t>Academy content for articles, courses, webinars/events, authors, categories, and course registration routes.</w:t>
      </w:r>
    </w:p>
    <w:p>
      <w:pPr>
        <w:keepNext w:val="0"/>
        <w:numPr>
          <w:ilvl w:val="0"/>
          <w:numId w:val="10"/>
        </w:numPr>
      </w:pPr>
      <w:r>
        <w:rPr>
          <w:rFonts w:ascii="Calibri" w:hAnsi="Calibri"/>
          <w:color w:val="10140E"/>
          <w:sz w:val="22"/>
        </w:rPr>
        <w:t>Content sections for team/advisors, testimonials, FAQs, partner entries, and community member stories.</w:t>
      </w:r>
    </w:p>
    <w:p>
      <w:pPr>
        <w:keepNext w:val="0"/>
        <w:numPr>
          <w:ilvl w:val="0"/>
          <w:numId w:val="10"/>
        </w:numPr>
      </w:pPr>
      <w:r>
        <w:rPr>
          <w:rFonts w:ascii="Calibri" w:hAnsi="Calibri"/>
          <w:color w:val="10140E"/>
          <w:sz w:val="22"/>
        </w:rPr>
        <w:t>Newsletter signup plus public contact, community, partnership, and Academy enquiry journeys.</w:t>
      </w:r>
    </w:p>
    <w:p>
      <w:pPr>
        <w:keepNext w:val="0"/>
        <w:numPr>
          <w:ilvl w:val="0"/>
          <w:numId w:val="10"/>
        </w:numPr>
      </w:pPr>
      <w:r>
        <w:rPr>
          <w:rFonts w:ascii="Calibri" w:hAnsi="Calibri"/>
          <w:color w:val="10140E"/>
          <w:sz w:val="22"/>
        </w:rPr>
        <w:t>A Sanity content workspace at /admin for authorised editors, with editor-managed contact, legal, people, and selected page content.</w:t>
      </w:r>
    </w:p>
    <w:p>
      <w:pPr>
        <w:keepNext w:val="0"/>
        <w:numPr>
          <w:ilvl w:val="0"/>
          <w:numId w:val="10"/>
        </w:numPr>
      </w:pPr>
      <w:r>
        <w:rPr>
          <w:rFonts w:ascii="Calibri" w:hAnsi="Calibri"/>
          <w:color w:val="10140E"/>
          <w:sz w:val="22"/>
        </w:rPr>
        <w:t>Approved links to the separately managed iProduce LMS, plus website promotion fields for the separately managed mobile app.</w:t>
      </w:r>
    </w:p>
    <w:p>
      <w:pPr>
        <w:pStyle w:val="Heading1"/>
        <w:keepNext/>
      </w:pPr>
      <w:r>
        <w:t>How the website is managed</w:t>
      </w:r>
    </w:p>
    <w:p>
      <w:pPr>
        <w:spacing w:after="120"/>
      </w:pPr>
      <w:r>
        <w:rPr>
          <w:rFonts w:ascii="Calibri" w:hAnsi="Calibri"/>
          <w:color w:val="10140E"/>
          <w:sz w:val="22"/>
        </w:rPr>
        <w:t>The public website and Production CMS dataset are live. Published CMS changes refresh the website automatically, normally within a few seconds.</w:t>
      </w:r>
    </w:p>
    <w:p>
      <w:pPr>
        <w:pStyle w:val="Heading2"/>
        <w:keepNext/>
      </w:pPr>
      <w:r>
        <w:t>What the client team can manage</w:t>
      </w:r>
    </w:p>
    <w:p>
      <w:pPr>
        <w:keepNext w:val="0"/>
        <w:numPr>
          <w:ilvl w:val="0"/>
          <w:numId w:val="10"/>
        </w:numPr>
      </w:pPr>
      <w:r>
        <w:rPr>
          <w:rFonts w:ascii="Calibri" w:hAnsi="Calibri"/>
          <w:color w:val="10140E"/>
          <w:sz w:val="22"/>
        </w:rPr>
        <w:t>Articles, courses, webinars/events, authors, and categories.</w:t>
      </w:r>
    </w:p>
    <w:p>
      <w:pPr>
        <w:keepNext w:val="0"/>
        <w:numPr>
          <w:ilvl w:val="0"/>
          <w:numId w:val="10"/>
        </w:numPr>
      </w:pPr>
      <w:r>
        <w:rPr>
          <w:rFonts w:ascii="Calibri" w:hAnsi="Calibri"/>
          <w:color w:val="10140E"/>
          <w:sz w:val="22"/>
        </w:rPr>
        <w:t>Testimonials, FAQs, partners, team/advisors, and member stories.</w:t>
      </w:r>
    </w:p>
    <w:p>
      <w:pPr>
        <w:keepNext w:val="0"/>
        <w:numPr>
          <w:ilvl w:val="0"/>
          <w:numId w:val="10"/>
        </w:numPr>
      </w:pPr>
      <w:r>
        <w:rPr>
          <w:rFonts w:ascii="Calibri" w:hAnsi="Calibri"/>
          <w:color w:val="10140E"/>
          <w:sz w:val="22"/>
        </w:rPr>
        <w:t>Selected Home and About content.</w:t>
      </w:r>
    </w:p>
    <w:p>
      <w:pPr>
        <w:keepNext w:val="0"/>
        <w:numPr>
          <w:ilvl w:val="0"/>
          <w:numId w:val="10"/>
        </w:numPr>
      </w:pPr>
      <w:r>
        <w:rPr>
          <w:rFonts w:ascii="Calibri" w:hAnsi="Calibri"/>
          <w:color w:val="10140E"/>
          <w:sz w:val="22"/>
        </w:rPr>
        <w:t>Public contact details and social/community links.</w:t>
      </w:r>
    </w:p>
    <w:p>
      <w:pPr>
        <w:keepNext w:val="0"/>
        <w:numPr>
          <w:ilvl w:val="0"/>
          <w:numId w:val="10"/>
        </w:numPr>
      </w:pPr>
      <w:r>
        <w:rPr>
          <w:rFonts w:ascii="Calibri" w:hAnsi="Calibri"/>
          <w:color w:val="10140E"/>
          <w:sz w:val="22"/>
        </w:rPr>
        <w:t>Privacy, terms, cookies, and accessibility-page copy.</w:t>
      </w:r>
    </w:p>
    <w:p>
      <w:r>
        <w:br w:type="page"/>
      </w:r>
    </w:p>
    <w:p>
      <w:pPr>
        <w:pStyle w:val="Heading1"/>
        <w:keepNext/>
      </w:pPr>
      <w:r>
        <w:t>What requires technical support</w:t>
      </w:r>
    </w:p>
    <w:p>
      <w:pPr>
        <w:keepNext w:val="0"/>
        <w:numPr>
          <w:ilvl w:val="0"/>
          <w:numId w:val="10"/>
        </w:numPr>
      </w:pPr>
      <w:r>
        <w:rPr>
          <w:rFonts w:ascii="Calibri" w:hAnsi="Calibri"/>
          <w:color w:val="10140E"/>
          <w:sz w:val="22"/>
        </w:rPr>
        <w:t>Website team: layout, navigation, visual design, new pages, forms, email delivery, hosting, DNS, deployments, integrations, and website security configuration.</w:t>
      </w:r>
    </w:p>
    <w:p>
      <w:pPr>
        <w:keepNext w:val="0"/>
        <w:numPr>
          <w:ilvl w:val="0"/>
          <w:numId w:val="10"/>
        </w:numPr>
      </w:pPr>
      <w:r>
        <w:rPr>
          <w:rFonts w:ascii="Calibri" w:hAnsi="Calibri"/>
          <w:color w:val="10140E"/>
          <w:sz w:val="22"/>
        </w:rPr>
        <w:t>Separate LMS team: learner accounts, enrolment, lessons, payments, progress, certificates, and LMS platform support.</w:t>
      </w:r>
    </w:p>
    <w:p>
      <w:pPr>
        <w:keepNext w:val="0"/>
        <w:numPr>
          <w:ilvl w:val="0"/>
          <w:numId w:val="10"/>
        </w:numPr>
      </w:pPr>
      <w:r>
        <w:rPr>
          <w:rFonts w:ascii="Calibri" w:hAnsi="Calibri"/>
          <w:color w:val="10140E"/>
          <w:sz w:val="22"/>
        </w:rPr>
        <w:t>Separate mobile-app team: app functionality, user accounts, releases, store listings, and mobile-app support.</w:t>
      </w:r>
    </w:p>
    <w:tbl>
      <w:tblPr>
        <w:tblW w:type="dxa" w:w="9360"/>
        <w:jc w:val="left"/>
        <w:tblLayout w:type="fixed"/>
        <w:tblLook w:firstColumn="1" w:firstRow="1" w:lastColumn="0" w:lastRow="0" w:noHBand="0" w:noVBand="1" w:val="04A0"/>
        <w:tblInd w:w="120" w:type="dxa"/>
        <w:tblBorders>
          <w:top w:val="single" w:sz="5" w:space="0" w:color="DDE5DA"/>
          <w:left w:val="single" w:sz="5" w:space="0" w:color="DDE5DA"/>
          <w:bottom w:val="single" w:sz="5" w:space="0" w:color="DDE5DA"/>
          <w:right w:val="single" w:sz="5" w:space="0" w:color="DDE5DA"/>
        </w:tblBorders>
      </w:tblPr>
      <w:tblGrid>
        <w:gridCol w:w="9360"/>
      </w:tblGrid>
      <w:tr>
        <w:tc>
          <w:tcPr>
            <w:tcW w:type="dxa" w:w="9360"/>
            <w:tcMar>
              <w:top w:w="150" w:type="dxa"/>
              <w:start w:w="180" w:type="dxa"/>
              <w:bottom w:w="150" w:type="dxa"/>
              <w:end w:w="180" w:type="dxa"/>
            </w:tcMar>
            <w:vAlign w:val="center"/>
            <w:shd w:fill="FDF4EE"/>
          </w:tcPr>
          <w:p>
            <w:pPr>
              <w:spacing w:after="60"/>
            </w:pPr>
            <w:r>
              <w:rPr>
                <w:rFonts w:ascii="Calibri" w:hAnsi="Calibri"/>
                <w:b/>
                <w:color w:val="ED7A3B"/>
                <w:sz w:val="16"/>
              </w:rPr>
              <w:t>CURRENT TECHNICAL BOUNDARY</w:t>
            </w:r>
          </w:p>
          <w:p>
            <w:pPr>
              <w:spacing w:after="0"/>
            </w:pPr>
            <w:r>
              <w:rPr>
                <w:rFonts w:ascii="Calibri" w:hAnsi="Calibri"/>
                <w:color w:val="10140E"/>
                <w:sz w:val="21"/>
              </w:rPr>
              <w:t>This handover covers the public website and its Sanity CMS. The website team does not operate or support the LMS or mobile app; those products have separate development teams. The website CMS only holds approved public links and promotional content that point to them. Source-code and hosting administration remain website-team managed under the current arrangement.</w:t>
            </w:r>
          </w:p>
        </w:tc>
      </w:tr>
    </w:tbl>
    <w:p>
      <w:pPr>
        <w:spacing w:after="40"/>
      </w:pPr>
    </w:p>
    <w:p>
      <w:pPr>
        <w:pStyle w:val="Heading1"/>
        <w:keepNext/>
      </w:pPr>
      <w:r>
        <w:t>Support and future changes</w:t>
      </w:r>
    </w:p>
    <w:p>
      <w:pPr>
        <w:spacing w:after="120"/>
      </w:pPr>
      <w:r>
        <w:rPr>
          <w:rFonts w:ascii="Calibri" w:hAnsi="Calibri"/>
          <w:color w:val="10140E"/>
          <w:sz w:val="22"/>
        </w:rPr>
        <w:t>Routine website content work should follow the CMS Editor Guide. Requests for new pages, layout changes, integrations, forms, email changes, hosting/DNS work, or new website functionality require website-developer review and may need a separate estimate.</w:t>
      </w:r>
    </w:p>
    <w:p>
      <w:pPr>
        <w:spacing w:after="120"/>
      </w:pPr>
      <w:r>
        <w:rPr>
          <w:rFonts w:ascii="Calibri" w:hAnsi="Calibri"/>
          <w:color w:val="10140E"/>
          <w:sz w:val="22"/>
        </w:rPr>
        <w:t>LMS or mobile-app problems should be sent to the separate team responsible for that product. Send the website team only issues involving the public website, Sanity CMS, or the approved links and promotional content shown there.</w:t>
      </w:r>
    </w:p>
    <w:p>
      <w:pPr>
        <w:spacing w:after="120"/>
      </w:pPr>
      <w:r>
        <w:rPr>
          <w:rFonts w:ascii="Calibri" w:hAnsi="Calibri"/>
          <w:color w:val="10140E"/>
          <w:sz w:val="22"/>
        </w:rPr>
        <w:t>When requesting technical support, send the affected page URL, the intended result, what happened instead, and a screenshot or short recording where useful.</w:t>
      </w:r>
    </w:p>
    <w:p>
      <w:pPr>
        <w:spacing w:after="120"/>
      </w:pPr>
      <w:r>
        <w:rPr>
          <w:rFonts w:ascii="Calibri" w:hAnsi="Calibri"/>
          <w:b/>
          <w:color w:val="10140E"/>
          <w:sz w:val="22"/>
        </w:rPr>
        <w:t>Support period / response expectation:</w:t>
      </w:r>
      <w:r>
        <w:rPr>
          <w:rFonts w:ascii="Calibri" w:hAnsi="Calibri"/>
          <w:color w:val="10140E"/>
          <w:sz w:val="22"/>
        </w:rPr>
        <w:t xml:space="preserve"> To confirm from the signed agreement before the final client issue.</w:t>
      </w:r>
    </w:p>
    <w:p>
      <w:r>
        <w:br w:type="page"/>
      </w:r>
    </w:p>
    <w:p>
      <w:pPr>
        <w:pStyle w:val="Heading1"/>
        <w:keepNext/>
      </w:pPr>
      <w:r>
        <w:t>Accounts and security</w:t>
      </w:r>
    </w:p>
    <w:p>
      <w:pPr>
        <w:spacing w:after="120"/>
      </w:pPr>
      <w:r>
        <w:rPr>
          <w:rFonts w:ascii="Calibri" w:hAnsi="Calibri"/>
          <w:color w:val="10140E"/>
          <w:sz w:val="22"/>
        </w:rPr>
        <w:t>Tobi Seun Ajayi (ibotajayi@gmail.com) is the iProduce Africa contact for routine CMS work and client-side technical coordination. The restricted Access and Accounts Register records each service, account email or invitation, role, current manager, and required action.</w:t>
      </w:r>
    </w:p>
    <w:p>
      <w:pPr>
        <w:keepNext w:val="0"/>
        <w:numPr>
          <w:ilvl w:val="0"/>
          <w:numId w:val="10"/>
        </w:numPr>
      </w:pPr>
      <w:r>
        <w:rPr>
          <w:rFonts w:ascii="Calibri" w:hAnsi="Calibri"/>
          <w:color w:val="10140E"/>
          <w:sz w:val="22"/>
        </w:rPr>
        <w:t>Use individual invitations wherever available. For Zoho mailboxes created with temporary passwords, let the client log in and change the password during handover.</w:t>
      </w:r>
    </w:p>
    <w:p>
      <w:pPr>
        <w:keepNext w:val="0"/>
        <w:numPr>
          <w:ilvl w:val="0"/>
          <w:numId w:val="10"/>
        </w:numPr>
      </w:pPr>
      <w:r>
        <w:rPr>
          <w:rFonts w:ascii="Calibri" w:hAnsi="Calibri"/>
          <w:color w:val="10140E"/>
          <w:sz w:val="22"/>
        </w:rPr>
        <w:t>Record that a password was changed, but never record the password itself, recovery codes, API keys, or environment secrets.</w:t>
      </w:r>
    </w:p>
    <w:p>
      <w:pPr>
        <w:keepNext w:val="0"/>
        <w:numPr>
          <w:ilvl w:val="0"/>
          <w:numId w:val="10"/>
        </w:numPr>
      </w:pPr>
      <w:r>
        <w:rPr>
          <w:rFonts w:ascii="Calibri" w:hAnsi="Calibri"/>
          <w:color w:val="10140E"/>
          <w:sz w:val="22"/>
        </w:rPr>
        <w:t>Turn on two-factor authentication for service owners and keep recovery material in the client-approved password manager.</w:t>
      </w:r>
    </w:p>
    <w:p>
      <w:pPr>
        <w:pStyle w:val="Heading1"/>
        <w:keepNext/>
      </w:pPr>
      <w:r>
        <w:t>Open items before closeout</w:t>
      </w:r>
    </w:p>
    <w:p>
      <w:pPr>
        <w:keepNext w:val="0"/>
        <w:numPr>
          <w:ilvl w:val="0"/>
          <w:numId w:val="10"/>
        </w:numPr>
      </w:pPr>
      <w:r>
        <w:rPr>
          <w:rFonts w:ascii="Calibri" w:hAnsi="Calibri"/>
          <w:color w:val="10140E"/>
          <w:sz w:val="22"/>
        </w:rPr>
        <w:t>Client counsel reviews or replaces the working legal-page copy, and genuine Academy event dates/times are confirmed before launch.</w:t>
      </w:r>
    </w:p>
    <w:p>
      <w:pPr>
        <w:keepNext w:val="0"/>
        <w:numPr>
          <w:ilvl w:val="0"/>
          <w:numId w:val="10"/>
        </w:numPr>
      </w:pPr>
      <w:r>
        <w:rPr>
          <w:rFonts w:ascii="Calibri" w:hAnsi="Calibri"/>
          <w:color w:val="10140E"/>
          <w:sz w:val="22"/>
        </w:rPr>
        <w:t>The client rotates temporary Zoho passwords and confirms recovery/2FA.</w:t>
      </w:r>
    </w:p>
    <w:p>
      <w:pPr>
        <w:keepNext w:val="0"/>
        <w:numPr>
          <w:ilvl w:val="0"/>
          <w:numId w:val="10"/>
        </w:numPr>
      </w:pPr>
      <w:r>
        <w:rPr>
          <w:rFonts w:ascii="Calibri" w:hAnsi="Calibri"/>
          <w:color w:val="10140E"/>
          <w:sz w:val="22"/>
        </w:rPr>
        <w:t>The client confirms approved LMS course URLs and mobile-app messaging supplied by the respective product teams before publishing them on the website.</w:t>
      </w:r>
    </w:p>
    <w:p>
      <w:pPr>
        <w:keepNext w:val="0"/>
        <w:numPr>
          <w:ilvl w:val="0"/>
          <w:numId w:val="10"/>
        </w:numPr>
      </w:pPr>
      <w:r>
        <w:rPr>
          <w:rFonts w:ascii="Calibri" w:hAnsi="Calibri"/>
          <w:color w:val="10140E"/>
          <w:sz w:val="22"/>
        </w:rPr>
        <w:t>Remaining Mailchimp lifecycle evidence, client-owned search properties, and the live sitemap submission are confirmed.</w:t>
      </w:r>
    </w:p>
    <w:p>
      <w:pPr>
        <w:keepNext w:val="0"/>
        <w:numPr>
          <w:ilvl w:val="0"/>
          <w:numId w:val="10"/>
        </w:numPr>
      </w:pPr>
      <w:r>
        <w:rPr>
          <w:rFonts w:ascii="Calibri" w:hAnsi="Calibri"/>
          <w:color w:val="10140E"/>
          <w:sz w:val="22"/>
        </w:rPr>
        <w:t>The small existing Home-page overflow around 1024px is resolved and retested.</w:t>
      </w:r>
    </w:p>
    <w:sectPr w:rsidR="00FC693F" w:rsidRPr="0006063C" w:rsidSect="00034616">
      <w:headerReference w:type="default" r:id="rId9"/>
      <w:headerReference w:type="even" r:id="rId10"/>
      <w:footerReference w:type="default" r:id="rId11"/>
      <w:footerReference w:type="even" r:id="rId12"/>
      <w:pgSz w:w="12240" w:h="15840"/>
      <w:pgMar w:top="1152"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500"/>
      <w:gridCol w:w="2860"/>
    </w:tblGrid>
    <w:tr>
      <w:tc>
        <w:tcPr>
          <w:tcW w:type="dxa" w:w="6500"/>
          <w:tcMar>
            <w:top w:w="80" w:type="dxa"/>
            <w:start w:w="120" w:type="dxa"/>
            <w:bottom w:w="80" w:type="dxa"/>
            <w:end w:w="120" w:type="dxa"/>
          </w:tcMar>
          <w:vAlign w:val="center"/>
        </w:tcPr>
        <w:p>
          <w:pPr>
            <w:spacing w:after="0"/>
          </w:pPr>
          <w:r>
            <w:rPr>
              <w:rFonts w:ascii="Calibri" w:hAnsi="Calibri"/>
              <w:color w:val="828E7B"/>
              <w:sz w:val="17"/>
            </w:rPr>
            <w:t>iproduceafrica.com</w:t>
          </w:r>
        </w:p>
      </w:tc>
      <w:tc>
        <w:tcPr>
          <w:tcW w:type="dxa" w:w="2860"/>
          <w:tcMar>
            <w:top w:w="80" w:type="dxa"/>
            <w:start w:w="120" w:type="dxa"/>
            <w:bottom w:w="80" w:type="dxa"/>
            <w:end w:w="120" w:type="dxa"/>
          </w:tcMar>
          <w:vAlign w:val="center"/>
        </w:tcPr>
        <w:p>
          <w:pPr>
            <w:spacing w:after="0"/>
            <w:jc w:val="right"/>
          </w:pPr>
          <w:r>
            <w:rPr>
              <w:rFonts w:ascii="Calibri" w:hAnsi="Calibri"/>
              <w:color w:val="828E7B"/>
              <w:sz w:val="17"/>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500"/>
      <w:gridCol w:w="2860"/>
    </w:tblGrid>
    <w:tr>
      <w:tc>
        <w:tcPr>
          <w:tcW w:type="dxa" w:w="6500"/>
          <w:tcMar>
            <w:top w:w="80" w:type="dxa"/>
            <w:start w:w="120" w:type="dxa"/>
            <w:bottom w:w="80" w:type="dxa"/>
            <w:end w:w="120" w:type="dxa"/>
          </w:tcMar>
          <w:vAlign w:val="center"/>
        </w:tcPr>
        <w:p>
          <w:pPr>
            <w:spacing w:after="0"/>
          </w:pPr>
          <w:r>
            <w:rPr>
              <w:rFonts w:ascii="Calibri" w:hAnsi="Calibri"/>
              <w:color w:val="828E7B"/>
              <w:sz w:val="17"/>
            </w:rPr>
            <w:t>iproduceafrica.com</w:t>
          </w:r>
        </w:p>
      </w:tc>
      <w:tc>
        <w:tcPr>
          <w:tcW w:type="dxa" w:w="2860"/>
          <w:tcMar>
            <w:top w:w="80" w:type="dxa"/>
            <w:start w:w="120" w:type="dxa"/>
            <w:bottom w:w="80" w:type="dxa"/>
            <w:end w:w="120" w:type="dxa"/>
          </w:tcMar>
          <w:vAlign w:val="center"/>
        </w:tcPr>
        <w:p>
          <w:pPr>
            <w:spacing w:after="0"/>
            <w:jc w:val="right"/>
          </w:pPr>
          <w:r>
            <w:rPr>
              <w:rFonts w:ascii="Calibri" w:hAnsi="Calibri"/>
              <w:color w:val="828E7B"/>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24361B"/>
        <w:sz w:val="17"/>
      </w:rPr>
      <w:t>iProduce Africa</w:t>
    </w:r>
    <w:r>
      <w:rPr>
        <w:rFonts w:ascii="Calibri" w:hAnsi="Calibri"/>
        <w:color w:val="828E7B"/>
        <w:sz w:val="17"/>
      </w:rPr>
      <w:t xml:space="preserve">  |  iProduce Africa Website Handover Summary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24361B"/>
        <w:sz w:val="17"/>
      </w:rPr>
      <w:t>iProduce Africa</w:t>
    </w:r>
    <w:r>
      <w:rPr>
        <w:rFonts w:ascii="Calibri" w:hAnsi="Calibri"/>
        <w:color w:val="828E7B"/>
        <w:sz w:val="17"/>
      </w:rPr>
      <w:t xml:space="preserve">  |  iProduce Africa Website Handover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0140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4361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4361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6230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iproduceafrica.com" TargetMode="External"/><Relationship Id="rId15" Type="http://schemas.openxmlformats.org/officeDocument/2006/relationships/hyperlink" Target="https://iproduceafrica.com/admin" TargetMode="External"/><Relationship Id="rId16" Type="http://schemas.openxmlformats.org/officeDocument/2006/relationships/hyperlink" Target="https://iproduceafrica.com/sitemap.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iProduce Africa Website Handover Summary</dc:title>
  <dc:subject>Client operational handover summary</dc:subject>
  <dc:creator>iProduce Africa Website Project</dc:creator>
  <cp:keywords>iProduce Africa, website, handover, CMS</cp:keywords>
  <dc:description>generated by python-docx</dc:description>
  <cp:lastModifiedBy/>
  <cp:revision>1</cp:revision>
  <dcterms:created xsi:type="dcterms:W3CDTF">2013-12-23T23:15:00Z</dcterms:created>
  <dcterms:modified xsi:type="dcterms:W3CDTF">2013-12-23T23:15:00Z</dcterms:modified>
  <cp:category/>
</cp:coreProperties>
</file>