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7C0A" w14:textId="657AD448" w:rsidR="00702CA9" w:rsidRPr="00792CCA" w:rsidRDefault="00847BE6" w:rsidP="00792CCA">
      <w:pPr>
        <w:spacing w:line="240" w:lineRule="auto"/>
        <w:rPr>
          <w:rStyle w:val="Heading1Char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D5802" wp14:editId="42C9656D">
                <wp:simplePos x="0" y="0"/>
                <wp:positionH relativeFrom="column">
                  <wp:posOffset>4305881</wp:posOffset>
                </wp:positionH>
                <wp:positionV relativeFrom="paragraph">
                  <wp:posOffset>2645086</wp:posOffset>
                </wp:positionV>
                <wp:extent cx="2383155" cy="6896735"/>
                <wp:effectExtent l="0" t="0" r="17145" b="18415"/>
                <wp:wrapNone/>
                <wp:docPr id="221505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68967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86D3" id="Rectangle: Rounded Corners 1" o:spid="_x0000_s1026" style="position:absolute;margin-left:339.05pt;margin-top:208.25pt;width:187.65pt;height:5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" fillcolor="white [3212]" strokecolor="black [3213]" strokeweight="1pt">
                <v:stroke joinstyle="miter"/>
              </v:roundrect>
            </w:pict>
          </mc:Fallback>
        </mc:AlternateContent>
      </w:r>
      <w:r w:rsidRPr="00847BE6">
        <w:t xml:space="preserve"> </w:t>
      </w:r>
      <w:r>
        <w:rPr>
          <w:noProof/>
        </w:rPr>
        <w:drawing>
          <wp:inline distT="0" distB="0" distL="0" distR="0" wp14:anchorId="5C0EE4F6" wp14:editId="6CC25C54">
            <wp:extent cx="6715125" cy="2247089"/>
            <wp:effectExtent l="0" t="0" r="0" b="1270"/>
            <wp:docPr id="1306250452" name="Picture 6" descr="Diversity, Inclusion &amp; Equity: Key Differences &amp; Why They All Matter - Ze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versity, Inclusion &amp; Equity: Key Differences &amp; Why They All Matter - Zen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96"/>
                    <a:stretch/>
                  </pic:blipFill>
                  <pic:spPr bwMode="auto">
                    <a:xfrm>
                      <a:off x="0" y="0"/>
                      <a:ext cx="6715125" cy="22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Style w:val="Heading1Char"/>
          <w:b/>
          <w:bCs/>
          <w:sz w:val="28"/>
          <w:szCs w:val="28"/>
        </w:rPr>
        <w:br/>
      </w:r>
      <w:r w:rsidR="00C13855">
        <w:rPr>
          <w:rStyle w:val="Heading1Char"/>
          <w:b/>
          <w:bCs/>
          <w:sz w:val="28"/>
          <w:szCs w:val="28"/>
        </w:rPr>
        <w:br/>
      </w:r>
      <w:r w:rsidR="005C0738" w:rsidRPr="00792CCA">
        <w:rPr>
          <w:rStyle w:val="Heading1Char"/>
          <w:b/>
          <w:bCs/>
          <w:sz w:val="28"/>
          <w:szCs w:val="28"/>
        </w:rPr>
        <w:t>Services for Individuals</w:t>
      </w:r>
    </w:p>
    <w:p w14:paraId="49F11DB9" w14:textId="67D90E74" w:rsidR="00537C10" w:rsidRPr="00792CCA" w:rsidRDefault="00792CCA" w:rsidP="00792CCA">
      <w:pPr>
        <w:pStyle w:val="Heading2"/>
        <w:spacing w:line="240" w:lineRule="auto"/>
        <w:rPr>
          <w:color w:val="215E99" w:themeColor="text2" w:themeTint="BF"/>
          <w:sz w:val="18"/>
          <w:szCs w:val="18"/>
        </w:rPr>
      </w:pPr>
      <w:r w:rsidRPr="00792C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2F3206" wp14:editId="2DB5B076">
            <wp:simplePos x="0" y="0"/>
            <wp:positionH relativeFrom="column">
              <wp:posOffset>4559300</wp:posOffset>
            </wp:positionH>
            <wp:positionV relativeFrom="paragraph">
              <wp:posOffset>13822</wp:posOffset>
            </wp:positionV>
            <wp:extent cx="1983411" cy="6588000"/>
            <wp:effectExtent l="0" t="0" r="0" b="3810"/>
            <wp:wrapNone/>
            <wp:docPr id="502486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6730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46"/>
                    <a:stretch/>
                  </pic:blipFill>
                  <pic:spPr bwMode="auto">
                    <a:xfrm>
                      <a:off x="0" y="0"/>
                      <a:ext cx="1983411" cy="65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C10" w:rsidRPr="00792CCA">
        <w:rPr>
          <w:rStyle w:val="Heading2Char"/>
          <w:sz w:val="22"/>
          <w:szCs w:val="22"/>
        </w:rPr>
        <w:t>Student Visas</w:t>
      </w:r>
    </w:p>
    <w:p w14:paraId="420E1288" w14:textId="5DF0C351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 xml:space="preserve">On-shore Student Applicants </w:t>
      </w:r>
    </w:p>
    <w:p w14:paraId="30E9BA75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Off-shore Student Applicants</w:t>
      </w:r>
    </w:p>
    <w:p w14:paraId="11A2E62F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Fee Paying Student Visa</w:t>
      </w:r>
    </w:p>
    <w:p w14:paraId="31655E16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Pathway Student Visa</w:t>
      </w:r>
    </w:p>
    <w:p w14:paraId="18D730A3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Exchange Student Visa</w:t>
      </w:r>
    </w:p>
    <w:p w14:paraId="12718B00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Dependent Child Student Visa</w:t>
      </w:r>
    </w:p>
    <w:p w14:paraId="2B0AA560" w14:textId="460F0879" w:rsidR="00702CA9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Foreign Government Supported Student Visa</w:t>
      </w:r>
      <w:r w:rsidR="00702CA9" w:rsidRPr="00792CCA">
        <w:rPr>
          <w:color w:val="000000" w:themeColor="text1"/>
          <w:sz w:val="20"/>
          <w:szCs w:val="20"/>
        </w:rPr>
        <w:br/>
      </w:r>
    </w:p>
    <w:p w14:paraId="54F96528" w14:textId="77777777" w:rsidR="00537C10" w:rsidRPr="00792CCA" w:rsidRDefault="00537C10" w:rsidP="00792CCA">
      <w:pPr>
        <w:pStyle w:val="Heading2"/>
        <w:spacing w:line="240" w:lineRule="auto"/>
        <w:rPr>
          <w:sz w:val="22"/>
          <w:szCs w:val="22"/>
        </w:rPr>
      </w:pPr>
      <w:r w:rsidRPr="00792CCA">
        <w:rPr>
          <w:sz w:val="22"/>
          <w:szCs w:val="22"/>
        </w:rPr>
        <w:t xml:space="preserve">Visit Visa </w:t>
      </w:r>
    </w:p>
    <w:p w14:paraId="7EAA87A5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 xml:space="preserve">General Visit Visa </w:t>
      </w:r>
    </w:p>
    <w:p w14:paraId="6F22B628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Group Visitor Visa</w:t>
      </w:r>
    </w:p>
    <w:p w14:paraId="21B3080E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Business Visitor Visa</w:t>
      </w:r>
    </w:p>
    <w:p w14:paraId="6C48CDBC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Parent and Grandparent (Visitor Visa)</w:t>
      </w:r>
    </w:p>
    <w:p w14:paraId="512026DF" w14:textId="7F91DC08" w:rsidR="00702CA9" w:rsidRPr="00792CCA" w:rsidRDefault="00537C10" w:rsidP="00792CCA">
      <w:pPr>
        <w:pStyle w:val="Subtitle"/>
        <w:spacing w:line="240" w:lineRule="auto"/>
        <w:ind w:left="720"/>
        <w:rPr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Medical Treatment (Visitor Visa)</w:t>
      </w:r>
      <w:r w:rsidR="00702CA9" w:rsidRPr="00792CCA">
        <w:rPr>
          <w:color w:val="000000" w:themeColor="text1"/>
          <w:sz w:val="20"/>
          <w:szCs w:val="20"/>
        </w:rPr>
        <w:br/>
      </w:r>
    </w:p>
    <w:p w14:paraId="4C139D59" w14:textId="41FF70A9" w:rsidR="00537C10" w:rsidRPr="00792CCA" w:rsidRDefault="00537C10" w:rsidP="00792CCA">
      <w:pPr>
        <w:pStyle w:val="Heading2"/>
        <w:spacing w:line="240" w:lineRule="auto"/>
        <w:rPr>
          <w:sz w:val="22"/>
          <w:szCs w:val="22"/>
        </w:rPr>
      </w:pPr>
      <w:r w:rsidRPr="00792CCA">
        <w:rPr>
          <w:rStyle w:val="Heading2Char"/>
          <w:sz w:val="22"/>
          <w:szCs w:val="22"/>
        </w:rPr>
        <w:t>Work Visas</w:t>
      </w:r>
    </w:p>
    <w:p w14:paraId="27884649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sz w:val="20"/>
          <w:szCs w:val="20"/>
        </w:rPr>
        <w:t xml:space="preserve"> </w:t>
      </w:r>
      <w:r w:rsidRPr="00792CCA">
        <w:rPr>
          <w:color w:val="000000" w:themeColor="text1"/>
          <w:sz w:val="20"/>
          <w:szCs w:val="20"/>
        </w:rPr>
        <w:t>Accredited Employer Work Visa</w:t>
      </w:r>
    </w:p>
    <w:p w14:paraId="31FD2806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Post study Work Visa</w:t>
      </w:r>
    </w:p>
    <w:p w14:paraId="57F54F49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Essential Skills Work Visa</w:t>
      </w:r>
    </w:p>
    <w:p w14:paraId="78EF8CF1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Working Holiday Visa</w:t>
      </w:r>
    </w:p>
    <w:p w14:paraId="18FEE932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Recognized Seasonal Employer Limited Visa</w:t>
      </w:r>
    </w:p>
    <w:p w14:paraId="0644EF85" w14:textId="77777777" w:rsidR="00537C10" w:rsidRPr="00792CCA" w:rsidRDefault="00537C10" w:rsidP="00792CCA">
      <w:pPr>
        <w:pStyle w:val="Subtitle"/>
        <w:spacing w:line="240" w:lineRule="auto"/>
        <w:ind w:left="720"/>
        <w:rPr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Specific Purpose Work Visa</w:t>
      </w:r>
      <w:r w:rsidRPr="00792CCA">
        <w:rPr>
          <w:color w:val="000000" w:themeColor="text1"/>
          <w:sz w:val="20"/>
          <w:szCs w:val="20"/>
        </w:rPr>
        <w:br/>
      </w:r>
    </w:p>
    <w:p w14:paraId="1DA57851" w14:textId="77777777" w:rsidR="00537C10" w:rsidRPr="00792CCA" w:rsidRDefault="00537C10" w:rsidP="00792CCA">
      <w:pPr>
        <w:pStyle w:val="Heading2"/>
        <w:spacing w:line="240" w:lineRule="auto"/>
        <w:rPr>
          <w:rStyle w:val="Heading2Char"/>
          <w:sz w:val="22"/>
          <w:szCs w:val="22"/>
        </w:rPr>
      </w:pPr>
      <w:r w:rsidRPr="00792CCA">
        <w:rPr>
          <w:rStyle w:val="Heading2Char"/>
          <w:sz w:val="22"/>
          <w:szCs w:val="22"/>
        </w:rPr>
        <w:t>Resident Visas</w:t>
      </w:r>
    </w:p>
    <w:p w14:paraId="70057B56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Straight to Residence</w:t>
      </w:r>
    </w:p>
    <w:p w14:paraId="1D599020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Work to Residence Visa</w:t>
      </w:r>
    </w:p>
    <w:p w14:paraId="0FFAD519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Parent Resident Visa</w:t>
      </w:r>
    </w:p>
    <w:p w14:paraId="24CDDFC6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Partner of a New Zealander Resident Visa</w:t>
      </w:r>
    </w:p>
    <w:p w14:paraId="090E718B" w14:textId="77777777" w:rsidR="00537C10" w:rsidRPr="00792CCA" w:rsidRDefault="00537C10" w:rsidP="00792CCA">
      <w:pPr>
        <w:pStyle w:val="Subtitle"/>
        <w:spacing w:line="240" w:lineRule="auto"/>
        <w:ind w:left="720"/>
        <w:rPr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Talent (Accredited Employer) Resident Visa</w:t>
      </w:r>
      <w:r w:rsidRPr="00792CCA">
        <w:rPr>
          <w:sz w:val="20"/>
          <w:szCs w:val="20"/>
        </w:rPr>
        <w:br/>
      </w:r>
    </w:p>
    <w:p w14:paraId="3C3B10AB" w14:textId="40FB5619" w:rsidR="00C13855" w:rsidRPr="00C13855" w:rsidRDefault="00537C10" w:rsidP="00C13855">
      <w:pPr>
        <w:pStyle w:val="Heading2"/>
        <w:spacing w:line="240" w:lineRule="auto"/>
        <w:rPr>
          <w:sz w:val="22"/>
          <w:szCs w:val="22"/>
        </w:rPr>
      </w:pPr>
      <w:r w:rsidRPr="00792CCA">
        <w:rPr>
          <w:rStyle w:val="Heading2Char"/>
          <w:sz w:val="22"/>
          <w:szCs w:val="22"/>
        </w:rPr>
        <w:lastRenderedPageBreak/>
        <w:t>Family Visas</w:t>
      </w:r>
    </w:p>
    <w:p w14:paraId="07EE2673" w14:textId="2476475E" w:rsidR="00537C10" w:rsidRPr="00792CCA" w:rsidRDefault="00702CA9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</w:t>
      </w:r>
      <w:r w:rsidR="00537C10" w:rsidRPr="00792CCA">
        <w:rPr>
          <w:color w:val="000000" w:themeColor="text1"/>
          <w:sz w:val="20"/>
          <w:szCs w:val="20"/>
        </w:rPr>
        <w:t>artners of New Zealand residents or citizens</w:t>
      </w:r>
    </w:p>
    <w:p w14:paraId="5645B097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Partner of a Student (Work Visa)</w:t>
      </w:r>
    </w:p>
    <w:p w14:paraId="4A946E24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Guardian of a Student (Visitor Visa)</w:t>
      </w:r>
    </w:p>
    <w:p w14:paraId="3B523A63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Parent Retirement (Resident Visa)</w:t>
      </w:r>
    </w:p>
    <w:p w14:paraId="5C96C39A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Parent (Resident Visa)</w:t>
      </w:r>
    </w:p>
    <w:p w14:paraId="1EDACA68" w14:textId="77777777" w:rsidR="00537C10" w:rsidRPr="00792CCA" w:rsidRDefault="00537C10" w:rsidP="00792CCA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Dependent Child (Resident Visa)</w:t>
      </w:r>
    </w:p>
    <w:p w14:paraId="196B7632" w14:textId="0F752D49" w:rsidR="00C13855" w:rsidRDefault="00537C10" w:rsidP="00C13855">
      <w:pPr>
        <w:pStyle w:val="Subtitle"/>
        <w:spacing w:line="240" w:lineRule="auto"/>
        <w:ind w:left="720"/>
        <w:rPr>
          <w:color w:val="000000" w:themeColor="text1"/>
          <w:sz w:val="20"/>
          <w:szCs w:val="20"/>
        </w:rPr>
      </w:pPr>
      <w:r w:rsidRPr="00792CCA">
        <w:rPr>
          <w:color w:val="000000" w:themeColor="text1"/>
          <w:sz w:val="20"/>
          <w:szCs w:val="20"/>
        </w:rPr>
        <w:t>Parent and Grandparent (Visitor Visa)</w:t>
      </w:r>
    </w:p>
    <w:p w14:paraId="29671DBD" w14:textId="77777777" w:rsidR="00495E31" w:rsidRDefault="00495E31" w:rsidP="006B518A">
      <w:pPr>
        <w:pBdr>
          <w:bottom w:val="single" w:sz="6" w:space="1" w:color="auto"/>
        </w:pBdr>
      </w:pPr>
    </w:p>
    <w:p w14:paraId="16B3AEBE" w14:textId="706F5C48" w:rsidR="006B518A" w:rsidRPr="00495E31" w:rsidRDefault="00E37119" w:rsidP="00495E31">
      <w:pPr>
        <w:spacing w:line="240" w:lineRule="auto"/>
        <w:rPr>
          <w:rStyle w:val="Heading1Char"/>
          <w:b/>
          <w:bCs/>
          <w:sz w:val="28"/>
          <w:szCs w:val="28"/>
        </w:rPr>
      </w:pPr>
      <w:r w:rsidRPr="00495E31">
        <w:rPr>
          <w:rStyle w:val="Heading1Char"/>
          <w:b/>
          <w:bCs/>
          <w:sz w:val="28"/>
          <w:szCs w:val="28"/>
        </w:rPr>
        <w:t>Co</w:t>
      </w:r>
      <w:r w:rsidR="006B518A" w:rsidRPr="00495E31">
        <w:rPr>
          <w:rStyle w:val="Heading1Char"/>
          <w:b/>
          <w:bCs/>
          <w:sz w:val="28"/>
          <w:szCs w:val="28"/>
        </w:rPr>
        <w:t>mplex Cases</w:t>
      </w:r>
    </w:p>
    <w:p w14:paraId="74981CE5" w14:textId="4AC257E3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PPI Response</w:t>
      </w:r>
    </w:p>
    <w:p w14:paraId="04741933" w14:textId="50F3005E" w:rsidR="00D47858" w:rsidRPr="00495E31" w:rsidRDefault="00D47858" w:rsidP="00D47858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  <w:sz w:val="20"/>
          <w:szCs w:val="20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When Immigration New Zealand identifies potentially prejudicial information (PPI) that could negatively impact a visa application, they issue a PPI letter to the applicant, allowing them to respond with additional evidence. Zealand immigration advisers can assist by crafting a clear, comprehensive, and well-supported response to address the concerns raised</w:t>
      </w:r>
    </w:p>
    <w:p w14:paraId="06835212" w14:textId="1CB26CF1" w:rsidR="00D47858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RFI Response</w:t>
      </w:r>
    </w:p>
    <w:p w14:paraId="51D9E568" w14:textId="75D37F36" w:rsidR="00D47858" w:rsidRPr="00495E31" w:rsidRDefault="00495E31" w:rsidP="00D47858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  <w:sz w:val="20"/>
          <w:szCs w:val="20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If </w:t>
      </w:r>
      <w:r w:rsidR="00D47858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Immigration New Zealand issues a Request for Information (RFI), they seek additional details or documents to </w:t>
      </w:r>
      <w:proofErr w:type="gramStart"/>
      <w:r w:rsidR="00D47858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make a decision</w:t>
      </w:r>
      <w:proofErr w:type="gramEnd"/>
      <w:r w:rsidR="00D47858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 on a visa application. Zealand immigration advisers can assist by providing clear, detailed responses and supporting evidence to address the specific queries raised</w:t>
      </w:r>
      <w:r w:rsidR="00D47858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 </w:t>
      </w:r>
    </w:p>
    <w:p w14:paraId="492B6160" w14:textId="040A2C5A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DLN Response</w:t>
      </w:r>
    </w:p>
    <w:p w14:paraId="135AA352" w14:textId="6690AF51" w:rsidR="00E37119" w:rsidRPr="00495E31" w:rsidRDefault="00495E31" w:rsidP="00E37119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  <w:sz w:val="20"/>
          <w:szCs w:val="20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If </w:t>
      </w:r>
      <w:r w:rsidR="00E37119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Immigration New Zealand issues a Deportation Liability Notice (DLN), it indicates that the applicant is liable for deportation due to visa breaches or other issues. Zealand immigration advisers can assist by promptly preparing a detailed response and, if necessary, lodging an appeal with the Immigration and Protection Tribunal.</w:t>
      </w:r>
      <w:r w:rsidR="00E37119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 </w:t>
      </w:r>
    </w:p>
    <w:p w14:paraId="5A365568" w14:textId="15542129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Section 61 Requests</w:t>
      </w:r>
    </w:p>
    <w:p w14:paraId="2FB91250" w14:textId="78642EBF" w:rsidR="00E37119" w:rsidRPr="00495E31" w:rsidRDefault="00E37119" w:rsidP="00E37119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  <w:sz w:val="20"/>
          <w:szCs w:val="20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Section 61 request allows individuals unlawfully in New Zealand to apply for a visa under special circumstances. Zealand immigration advisers can assist by preparing a compelling application with strong supporting evidence to maximize the chances of approval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.</w:t>
      </w:r>
    </w:p>
    <w:p w14:paraId="0AFAA2D0" w14:textId="5788D8AA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Declined Residence Application</w:t>
      </w:r>
    </w:p>
    <w:p w14:paraId="4C44CD1E" w14:textId="0746A3AE" w:rsidR="00C41221" w:rsidRPr="00495E31" w:rsidRDefault="00E37119" w:rsidP="00E37119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If 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Immigration New Zealand declines a residence application, the applicant can appeal to the Immigration and Protection Tribunal within </w:t>
      </w:r>
      <w:r w:rsidR="00495E31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a stipulated period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. New Zealand immigration advisers can assist by preparing a strong appeal, addressing the reasons for the decline, and presenting new evidence if necessary</w:t>
      </w:r>
      <w:r w:rsidR="00C41221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.</w:t>
      </w:r>
      <w:r w:rsidRPr="00495E31">
        <w:rPr>
          <w:rFonts w:eastAsiaTheme="majorEastAsia" w:cstheme="majorBidi"/>
          <w:color w:val="000000" w:themeColor="text1"/>
          <w:spacing w:val="15"/>
        </w:rPr>
        <w:br/>
      </w:r>
    </w:p>
    <w:p w14:paraId="067DE3A6" w14:textId="37ECE97E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Refugee Request</w:t>
      </w:r>
    </w:p>
    <w:p w14:paraId="10E74BAE" w14:textId="735D71AE" w:rsidR="00E37119" w:rsidRPr="00495E31" w:rsidRDefault="00E37119" w:rsidP="00E37119">
      <w:pPr>
        <w:tabs>
          <w:tab w:val="left" w:pos="10632"/>
        </w:tabs>
        <w:ind w:right="4961"/>
        <w:rPr>
          <w:rFonts w:eastAsiaTheme="majorEastAsia" w:cstheme="majorBidi"/>
          <w:color w:val="0F4761" w:themeColor="accent1" w:themeShade="BF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Refugee Request allows individuals fearing persecution to apply for refugee status. New Zealand immigration advisers can assist by preparing a thorough application with strong 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lastRenderedPageBreak/>
        <w:t>evidence and guiding the applicant through the interview and submission process</w:t>
      </w:r>
      <w:r w:rsidR="00495E31">
        <w:rPr>
          <w:rFonts w:eastAsiaTheme="majorEastAsia" w:cstheme="majorBidi"/>
          <w:color w:val="0F4761" w:themeColor="accent1" w:themeShade="BF"/>
        </w:rPr>
        <w:t>.</w:t>
      </w:r>
      <w:r w:rsidRPr="00495E31">
        <w:rPr>
          <w:rFonts w:eastAsiaTheme="majorEastAsia" w:cstheme="majorBidi"/>
          <w:color w:val="0F4761" w:themeColor="accent1" w:themeShade="BF"/>
        </w:rPr>
        <w:t xml:space="preserve"> </w:t>
      </w:r>
    </w:p>
    <w:p w14:paraId="73369F22" w14:textId="16C66AA8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Domestic Violence</w:t>
      </w:r>
    </w:p>
    <w:p w14:paraId="656FF6C8" w14:textId="2A7DDA64" w:rsidR="00495E31" w:rsidRPr="00EC50C1" w:rsidRDefault="00495E31" w:rsidP="00EC50C1">
      <w:pPr>
        <w:tabs>
          <w:tab w:val="left" w:pos="10632"/>
        </w:tabs>
        <w:ind w:right="4961"/>
        <w:jc w:val="both"/>
        <w:rPr>
          <w:rFonts w:eastAsiaTheme="majorEastAsia" w:cstheme="majorBidi"/>
          <w:color w:val="000000" w:themeColor="text1"/>
          <w:spacing w:val="15"/>
          <w:sz w:val="20"/>
          <w:szCs w:val="20"/>
        </w:rPr>
      </w:pPr>
      <w:r w:rsidRPr="00EC50C1">
        <w:rPr>
          <w:rFonts w:eastAsiaTheme="majorEastAsia" w:cstheme="majorBidi"/>
          <w:color w:val="000000" w:themeColor="text1"/>
          <w:spacing w:val="15"/>
          <w:sz w:val="20"/>
          <w:szCs w:val="20"/>
        </w:rPr>
        <w:t>When Immigration New Zealand processes a case involving domestic violence, they may grant a special visa to allow the victim to stay in the country. Zealand immigration advisers can assist by preparing a strong application with detailed evidence and guiding the applicant through the process</w:t>
      </w:r>
      <w:r w:rsidRPr="00EC50C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 </w:t>
      </w:r>
    </w:p>
    <w:p w14:paraId="0AB8A644" w14:textId="54F66760" w:rsidR="00C41221" w:rsidRPr="00495E31" w:rsidRDefault="00C41221" w:rsidP="00D47858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Ministerial Appeals</w:t>
      </w:r>
    </w:p>
    <w:p w14:paraId="6B409A5F" w14:textId="392FE8D9" w:rsidR="00495E31" w:rsidRPr="00495E31" w:rsidRDefault="00495E31" w:rsidP="00495E31">
      <w:pPr>
        <w:tabs>
          <w:tab w:val="left" w:pos="10632"/>
        </w:tabs>
        <w:ind w:right="4961"/>
        <w:jc w:val="both"/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When making a Ministerial Appeal, applicants seek the Minister of Immigration’s intervention in exceptional cases where other options have 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not succeeded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. Zealand immigration advisers can assist by preparing detailed submissions, highlighting unique circumstances, and providing strong supporting documentation.</w:t>
      </w:r>
      <w:r w:rsidRPr="00495E31">
        <w:t xml:space="preserve"> </w:t>
      </w:r>
    </w:p>
    <w:p w14:paraId="725CE281" w14:textId="10CB8882" w:rsidR="00C41221" w:rsidRPr="00495E31" w:rsidRDefault="00C41221" w:rsidP="00495E31">
      <w:pPr>
        <w:pStyle w:val="Heading2"/>
        <w:tabs>
          <w:tab w:val="left" w:pos="10632"/>
        </w:tabs>
        <w:ind w:right="4961"/>
        <w:rPr>
          <w:rFonts w:asciiTheme="minorHAnsi" w:hAnsiTheme="minorHAnsi"/>
          <w:sz w:val="22"/>
          <w:szCs w:val="22"/>
        </w:rPr>
      </w:pPr>
      <w:r w:rsidRPr="00495E31">
        <w:rPr>
          <w:rFonts w:asciiTheme="minorHAnsi" w:hAnsiTheme="minorHAnsi"/>
          <w:sz w:val="22"/>
          <w:szCs w:val="22"/>
        </w:rPr>
        <w:t>Legal Opinion:</w:t>
      </w:r>
    </w:p>
    <w:p w14:paraId="4756EB5E" w14:textId="12AECF57" w:rsidR="00C41221" w:rsidRPr="00495E31" w:rsidRDefault="00C41221" w:rsidP="00495E31">
      <w:pPr>
        <w:tabs>
          <w:tab w:val="left" w:pos="10632"/>
        </w:tabs>
        <w:ind w:right="4961"/>
        <w:jc w:val="both"/>
        <w:rPr>
          <w:sz w:val="20"/>
          <w:szCs w:val="20"/>
        </w:rPr>
      </w:pP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Legal opinions provide professional advice on immigration matters. These responses </w:t>
      </w:r>
      <w:r w:rsidR="00495E31"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>analyse</w:t>
      </w:r>
      <w:r w:rsidRPr="00495E31">
        <w:rPr>
          <w:rFonts w:eastAsiaTheme="majorEastAsia" w:cstheme="majorBidi"/>
          <w:color w:val="000000" w:themeColor="text1"/>
          <w:spacing w:val="15"/>
          <w:sz w:val="20"/>
          <w:szCs w:val="20"/>
        </w:rPr>
        <w:t xml:space="preserve"> specific situations, interpret relevant laws, and guide individuals on their best course of action.</w:t>
      </w:r>
    </w:p>
    <w:p w14:paraId="08DD68D9" w14:textId="77777777" w:rsidR="00C41221" w:rsidRPr="006B518A" w:rsidRDefault="00C41221" w:rsidP="006B518A"/>
    <w:p w14:paraId="7502A75E" w14:textId="77777777" w:rsidR="006B518A" w:rsidRPr="006B518A" w:rsidRDefault="006B518A" w:rsidP="006B518A"/>
    <w:p w14:paraId="167426A7" w14:textId="4CAD6026" w:rsidR="0085649C" w:rsidRDefault="00C13855" w:rsidP="00C13855">
      <w:pPr>
        <w:pStyle w:val="Heading1"/>
        <w:rPr>
          <w:rStyle w:val="Heading1Char"/>
          <w:sz w:val="28"/>
          <w:szCs w:val="28"/>
        </w:rPr>
      </w:pPr>
      <w:r>
        <w:rPr>
          <w:rStyle w:val="Strong"/>
        </w:rPr>
        <w:br/>
      </w:r>
      <w:r w:rsidRPr="00C13855">
        <w:rPr>
          <w:rStyle w:val="Heading1Char"/>
          <w:sz w:val="28"/>
          <w:szCs w:val="28"/>
          <w:highlight w:val="yellow"/>
        </w:rPr>
        <w:t>This section should look like the below boxes</w:t>
      </w:r>
      <w:r w:rsidRPr="00C13855">
        <w:rPr>
          <w:rStyle w:val="Heading1Char"/>
          <w:sz w:val="28"/>
          <w:szCs w:val="28"/>
        </w:rPr>
        <w:t xml:space="preserve"> </w:t>
      </w:r>
      <w:r w:rsidR="005C0738" w:rsidRPr="00C13855">
        <w:rPr>
          <w:rStyle w:val="Heading1Char"/>
          <w:sz w:val="28"/>
          <w:szCs w:val="28"/>
        </w:rPr>
        <w:br/>
      </w:r>
      <w:r>
        <w:rPr>
          <w:noProof/>
        </w:rPr>
        <w:drawing>
          <wp:inline distT="0" distB="0" distL="0" distR="0" wp14:anchorId="26E4F0DB" wp14:editId="5EFB76BA">
            <wp:extent cx="3608962" cy="2849181"/>
            <wp:effectExtent l="0" t="0" r="0" b="8890"/>
            <wp:docPr id="1112058218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8218" name="Picture 7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98" cy="28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BD29" w14:textId="77777777" w:rsidR="006B518A" w:rsidRDefault="006B518A" w:rsidP="006B518A"/>
    <w:p w14:paraId="5E729532" w14:textId="5FA27169" w:rsidR="006B518A" w:rsidRDefault="006B518A" w:rsidP="006B518A">
      <w:r>
        <w:t xml:space="preserve">NZQA </w:t>
      </w:r>
    </w:p>
    <w:p w14:paraId="054E735C" w14:textId="6BE93859" w:rsidR="006B518A" w:rsidRPr="006B518A" w:rsidRDefault="006B518A" w:rsidP="006B518A">
      <w:r>
        <w:t xml:space="preserve">IELTS </w:t>
      </w:r>
    </w:p>
    <w:sectPr w:rsidR="006B518A" w:rsidRPr="006B518A" w:rsidSect="00847BE6">
      <w:headerReference w:type="default" r:id="rId11"/>
      <w:pgSz w:w="11906" w:h="16838"/>
      <w:pgMar w:top="284" w:right="140" w:bottom="0" w:left="709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74E0A" w14:textId="77777777" w:rsidR="00D27384" w:rsidRDefault="00D27384" w:rsidP="00792CCA">
      <w:pPr>
        <w:spacing w:after="0" w:line="240" w:lineRule="auto"/>
      </w:pPr>
      <w:r>
        <w:separator/>
      </w:r>
    </w:p>
  </w:endnote>
  <w:endnote w:type="continuationSeparator" w:id="0">
    <w:p w14:paraId="438EA4BF" w14:textId="77777777" w:rsidR="00D27384" w:rsidRDefault="00D27384" w:rsidP="0079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4CC09" w14:textId="77777777" w:rsidR="00D27384" w:rsidRDefault="00D27384" w:rsidP="00792CCA">
      <w:pPr>
        <w:spacing w:after="0" w:line="240" w:lineRule="auto"/>
      </w:pPr>
      <w:r>
        <w:separator/>
      </w:r>
    </w:p>
  </w:footnote>
  <w:footnote w:type="continuationSeparator" w:id="0">
    <w:p w14:paraId="423D7272" w14:textId="77777777" w:rsidR="00D27384" w:rsidRDefault="00D27384" w:rsidP="00792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9BF6" w14:textId="52165BB0" w:rsidR="00792CCA" w:rsidRDefault="00792CCA" w:rsidP="00847B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46769"/>
    <w:multiLevelType w:val="hybridMultilevel"/>
    <w:tmpl w:val="8974D2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423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C0"/>
    <w:rsid w:val="002154AB"/>
    <w:rsid w:val="00281ED3"/>
    <w:rsid w:val="003E6915"/>
    <w:rsid w:val="00495E31"/>
    <w:rsid w:val="00537C10"/>
    <w:rsid w:val="005C0738"/>
    <w:rsid w:val="006912C0"/>
    <w:rsid w:val="006B518A"/>
    <w:rsid w:val="006C219B"/>
    <w:rsid w:val="006D7279"/>
    <w:rsid w:val="00702CA9"/>
    <w:rsid w:val="00792CCA"/>
    <w:rsid w:val="00807ECF"/>
    <w:rsid w:val="00847BE6"/>
    <w:rsid w:val="0085649C"/>
    <w:rsid w:val="008D7894"/>
    <w:rsid w:val="00C13855"/>
    <w:rsid w:val="00C41221"/>
    <w:rsid w:val="00D13872"/>
    <w:rsid w:val="00D27384"/>
    <w:rsid w:val="00D47858"/>
    <w:rsid w:val="00DC4835"/>
    <w:rsid w:val="00E37119"/>
    <w:rsid w:val="00EC50C1"/>
    <w:rsid w:val="00E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DC1B3"/>
  <w15:chartTrackingRefBased/>
  <w15:docId w15:val="{F4158B2A-A4DA-49F2-AEAF-0D31653C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C10"/>
  </w:style>
  <w:style w:type="paragraph" w:styleId="Heading1">
    <w:name w:val="heading 1"/>
    <w:basedOn w:val="Normal"/>
    <w:next w:val="Normal"/>
    <w:link w:val="Heading1Char"/>
    <w:uiPriority w:val="9"/>
    <w:qFormat/>
    <w:rsid w:val="0069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2CA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92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CA"/>
  </w:style>
  <w:style w:type="paragraph" w:styleId="Footer">
    <w:name w:val="footer"/>
    <w:basedOn w:val="Normal"/>
    <w:link w:val="FooterChar"/>
    <w:uiPriority w:val="99"/>
    <w:unhideWhenUsed/>
    <w:rsid w:val="00792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CA"/>
  </w:style>
  <w:style w:type="paragraph" w:styleId="NoSpacing">
    <w:name w:val="No Spacing"/>
    <w:uiPriority w:val="1"/>
    <w:qFormat/>
    <w:rsid w:val="00C1385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13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Toprani</dc:creator>
  <cp:keywords/>
  <dc:description/>
  <cp:lastModifiedBy>Rohit Toprani</cp:lastModifiedBy>
  <cp:revision>4</cp:revision>
  <dcterms:created xsi:type="dcterms:W3CDTF">2024-07-16T22:05:00Z</dcterms:created>
  <dcterms:modified xsi:type="dcterms:W3CDTF">2024-07-17T04:15:00Z</dcterms:modified>
</cp:coreProperties>
</file>