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на WPF.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Общие: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Цветовая палитра: синий, белый, черный, красный, зеленый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Возможность регистрации и авторизации пользователя с помощью базы данных "MongoDb".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Предоставление 30 тренировочных дней с примерным планом питания.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Возможность просмотра упражнений по видео.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Форма регистрации: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Текстовые поля: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Для ввода имени;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Для ввода фамилии;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 Для ввода роста;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1.4 Для ввода веса;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1.5. Для ввода возраста;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1.6. Для ввода логина;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1.7. Для ввода пароля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Кнопки: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Для регистрации пользователя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Гиперссылки: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Для перехода на страницу авторизации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Первая страница.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Фамилия, имя текущего пользователя.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Кнопки для перехода на страницу определенного дня тренировки.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Кнопка выхода из учетной записи.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Страница тренировочного дня.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Рацион питания с примерами продуктов, и возможность просмотра примеров блюд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Список упражнений (кнопки, позволяющие перейти на страницу упражнения).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Кнопка «Back»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Дополнить страницу по усмотрению.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Страница упражнения.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Видео с примером упражнения;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Словесное описание упражнения;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Информация о количестве повторений и подходов.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Кнопка «Back»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Страница авторизации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Поля ввода: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Ввод логина;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Ввод пароля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Кнопки: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Для осуществления авторизации с переходом на главную страницу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Гиперссылки: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 Переход на страницу регистрации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