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sz w:val="52"/>
          <w:szCs w:val="52"/>
        </w:rPr>
        <w:t xml:space="preserve">Documento de Calidad de Software</w:t>
      </w:r>
    </w:p>
    <w:p>
      <w:pPr>
        <w:spacing w:after="720"/>
        <w:jc w:val="center"/>
      </w:pPr>
      <w:r>
        <w:rPr>
          <w:sz w:val="34"/>
          <w:szCs w:val="34"/>
        </w:rPr>
        <w:t xml:space="preserve">Informe Técnico de Pruebas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FastExpress</w:t>
      </w:r>
    </w:p>
    <w:p>
      <w:pPr>
        <w:spacing w:after="1800"/>
        <w:jc w:val="center"/>
      </w:pPr>
      <w:r>
        <w:rPr>
          <w:sz w:val="24"/>
          <w:szCs w:val="24"/>
        </w:rPr>
        <w:t xml:space="preserve">Cotizador de envíos y gestión de órdenes</w:t>
      </w:r>
    </w:p>
    <w:p>
      <w:pPr>
        <w:spacing w:after="60"/>
        <w:jc w:val="center"/>
      </w:pPr>
      <w:r>
        <w:rPr>
          <w:b/>
          <w:bCs/>
        </w:rPr>
        <w:t xml:space="preserve">Versión: </w:t>
      </w:r>
      <w:r>
        <w:t xml:space="preserve">1.0</w:t>
      </w:r>
    </w:p>
    <w:p>
      <w:pPr>
        <w:spacing w:after="60"/>
        <w:jc w:val="center"/>
      </w:pPr>
      <w:r>
        <w:rPr>
          <w:b/>
          <w:bCs/>
        </w:rPr>
        <w:t xml:space="preserve">Fecha: </w:t>
      </w:r>
      <w:r>
        <w:t xml:space="preserve">27 de octubre de 2026</w:t>
      </w:r>
    </w:p>
    <w:p>
      <w:pPr>
        <w:spacing w:after="60"/>
        <w:jc w:val="center"/>
      </w:pPr>
      <w:r>
        <w:rPr>
          <w:b/>
          <w:bCs/>
        </w:rPr>
        <w:t xml:space="preserve">Línea base evaluada: </w:t>
      </w:r>
      <w:r>
        <w:t xml:space="preserve">rama main, commit 65659c3</w:t>
      </w:r>
    </w:p>
    <w:p>
      <w:pPr>
        <w:spacing w:after="60"/>
        <w:jc w:val="center"/>
      </w:pPr>
      <w:r>
        <w:rPr>
          <w:b/>
          <w:bCs/>
        </w:rPr>
        <w:t xml:space="preserve">Repositorio: </w:t>
      </w:r>
      <w:r>
        <w:t xml:space="preserve">github.com/NacheManu/FastExpress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pStyle w:val="Heading2"/>
        <w:keepNext/>
      </w:pPr>
      <w:r>
        <w:t xml:space="preserve">Objetivo</w:t>
      </w:r>
    </w:p>
    <w:p>
      <w:pPr>
        <w:spacing w:after="140" w:line="276"/>
        <w:jc w:val="both"/>
      </w:pPr>
      <w:r>
        <w:t xml:space="preserve">Este informe documenta el diseño, la ejecución y los resultados de las pruebas de software de FastExpress. Su propósito es verificar que el cálculo de la tarifa de envío cumple las reglas de negocio BR-01 a BR-04 y dejar evidencia de la cobertura de código alcanzada por las pruebas automatizadas.</w:t>
      </w:r>
    </w:p>
    <w:p>
      <w:pPr>
        <w:pStyle w:val="Heading2"/>
        <w:keepNext/>
      </w:pPr>
      <w:r>
        <w:t xml:space="preserve">Sistema bajo prueba</w:t>
      </w:r>
    </w:p>
    <w:p>
      <w:pPr>
        <w:spacing w:after="140" w:line="276"/>
        <w:jc w:val="both"/>
      </w:pPr>
      <w:r>
        <w:t xml:space="preserve">FastExpress está compuesto por un </w:t>
      </w:r>
      <w:r>
        <w:rPr>
          <w:b/>
          <w:bCs/>
        </w:rPr>
        <w:t xml:space="preserve">backend</w:t>
      </w:r>
      <w:r>
        <w:t xml:space="preserve"> (Node.js, Express 5 y TypeScript) que implementa las reglas de negocio y expone la API REST </w:t>
      </w:r>
      <w:r>
        <w:rPr>
          <w:rFonts w:ascii="Courier New" w:cs="Courier New" w:eastAsia="Courier New" w:hAnsi="Courier New"/>
          <w:sz w:val="20"/>
          <w:szCs w:val="20"/>
        </w:rPr>
        <w:t xml:space="preserve">/api/v1</w:t>
      </w:r>
      <w:r>
        <w:t xml:space="preserve">, y un </w:t>
      </w:r>
      <w:r>
        <w:rPr>
          <w:b/>
          <w:bCs/>
        </w:rPr>
        <w:t xml:space="preserve">frontend</w:t>
      </w:r>
      <w:r>
        <w:t xml:space="preserve"> (React 19, TypeScript y Tailwind CSS) con arquitectura MVVM que consume esa API. El cálculo de la tarifa reside en la función </w:t>
      </w:r>
      <w:r>
        <w:rPr>
          <w:rFonts w:ascii="Courier New" w:cs="Courier New" w:eastAsia="Courier New" w:hAnsi="Courier New"/>
          <w:sz w:val="20"/>
          <w:szCs w:val="20"/>
        </w:rPr>
        <w:t xml:space="preserve">calculateShippingCost</w:t>
      </w:r>
      <w:r>
        <w:t xml:space="preserve"> del dominio del backend.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1. Reglas de negocio verificadas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Regla</w:t>
            </w:r>
          </w:p>
        </w:tc>
        <w:tc>
          <w:tcPr>
            <w:tcW w:type="dxa" w:w="81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Tarifa base: toda orden tiene un costo base de $5.00 USD.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Cálculo por peso: de 0.01 a 5.00 kg, $2.00 por kg; de 5.01 a 20.00 kg, $4.00 por kg; más de 20.00 kg, se rechaza el envío (límite excedido).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Descuento por tipo de cliente: NUEVO 0 %, FRECUENTE 10 %, VIP 20 %.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Recargo por tipo de envío: ESTANDAR 0 %, EXPRESS +25 % sobre la tarifa subtotal.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Interpretación de las reglas</w:t>
      </w:r>
    </w:p>
    <w:p>
      <w:pPr>
        <w:spacing w:after="140" w:line="276"/>
        <w:jc w:val="both"/>
      </w:pPr>
      <w:r>
        <w:t xml:space="preserve">El enunciado deja puntos abiertos que condicionan los resultados esperados. Las pruebas se diseñaron con las siguientes interpretaciones: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Tramo completo:</w:t>
      </w:r>
      <w:r>
        <w:t xml:space="preserve"> todo el peso se cobra a la tarifa del tramo en que cae (10 kg = 10 × $4.00), no de forma escalonada.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Descuento y recargo sobre el mismo subtotal:</w:t>
      </w:r>
      <w:r>
        <w:t xml:space="preserve"> subtotal = $5.00 + peso × tarifa; total = subtotal − descuento + recargo. El orden de aplicación no altera el resultado.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Precisión del peso:</w:t>
      </w:r>
      <w:r>
        <w:t xml:space="preserve"> como máximo 2 decimales (los tramos se definen al centésimo: 5.00 / 5.01). El mínimo es 0.01 kg.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Redondeo:</w:t>
      </w:r>
      <w:r>
        <w:t xml:space="preserve"> el cálculo se hace en centavos y cada porcentaje se redondea al centavo más cercano (0.5 hacia arriba).</w:t>
      </w:r>
    </w:p>
    <w:p>
      <w:pPr>
        <w:pStyle w:val="Heading2"/>
        <w:keepNext/>
      </w:pPr>
      <w:r>
        <w:t xml:space="preserve">Entorno y herramientas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2. Herramientas utilizadas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1400"/>
        <w:gridCol w:w="5160"/>
      </w:tblGrid>
      <w:tr>
        <w:trPr>
          <w:cantSplit/>
          <w:tblHeader/>
        </w:trPr>
        <w:tc>
          <w:tcPr>
            <w:tcW w:type="dxa" w:w="2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4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51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22.13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Entorno de ejecución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5.0.5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Ejecución de pruebas unitarias, de API y de interfaz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Supertest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 la API REST sobre la aplicación Express real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Testing Library (React)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 caja negra de la interfaz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@vitest/coverage-v8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5.0.5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Medición de cobertura con la instrumentación nativa de V8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Resumen de la ejecución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3. Pruebas automatizadas ejecutadas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300"/>
        <w:gridCol w:w="2860"/>
        <w:gridCol w:w="1000"/>
        <w:gridCol w:w="1200"/>
      </w:tblGrid>
      <w:tr>
        <w:trPr>
          <w:cantSplit/>
          <w:tblHeader/>
        </w:trPr>
        <w:tc>
          <w:tcPr>
            <w:tcW w:type="dxa" w:w="43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Archivo de pruebas</w:t>
            </w:r>
          </w:p>
        </w:tc>
        <w:tc>
          <w:tcPr>
            <w:tcW w:type="dxa" w:w="28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Técnica / nivel</w:t>
            </w:r>
          </w:p>
        </w:tc>
        <w:tc>
          <w:tcPr>
            <w:tcW w:type="dxa" w:w="10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Pruebas</w:t>
            </w:r>
          </w:p>
        </w:tc>
        <w:tc>
          <w:tcPr>
            <w:tcW w:type="dxa" w:w="12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backend/tests/black-box/weight.test.ts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Caja negra: EP y BVA (Peso)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backend/tests/black-box/amount.test.ts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Caja negra: EP y BVA (Monto)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backend/tests/black-box/decision-table.test.ts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Caja negra: tabla de decisión y EP categórica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backend/tests/white-box/calculate-shipping-cost.paths.test.ts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Caja blanca: caminos independientes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backend/tests/domain/calculate-shipping-cost.test.ts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Unitarias del dominio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backend/tests/api/app.test.ts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REST (endpoints y errores)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backend/tests/unit/*.test.ts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Unitarias (configuración y servicio)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Total backend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97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97 aprobadas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frontend/src/views/pages/QuotePage.test.tsx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Caja negra e integración del cotizador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frontend/src/app/App.test.tsx, views/pages/Order*.test.tsx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Integración: navegación, tema y páginas de órdenes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frontend/src/viewmodels/*.test.ts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Unitarias de ViewModels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frontend/src/{services,core,ui,views/components}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Unitarias: servicios HTTP, tema, hooks y componentes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Total frontend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111 aprobadas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Plan de Pruebas de Caja Negra (QA + Frontend)</w:t>
      </w:r>
    </w:p>
    <w:p>
      <w:pPr>
        <w:pStyle w:val="Heading2"/>
        <w:keepNext/>
      </w:pPr>
      <w:r>
        <w:t xml:space="preserve">1.1 Enfoque y variables</w:t>
      </w:r>
    </w:p>
    <w:p>
      <w:pPr>
        <w:spacing w:after="140" w:line="276"/>
        <w:jc w:val="both"/>
      </w:pPr>
      <w:r>
        <w:t xml:space="preserve">Las pruebas de caja negra se diseñan a partir de la especificación, sin considerar la implementación. Se aplican </w:t>
      </w:r>
      <w:r>
        <w:rPr>
          <w:b/>
          <w:bCs/>
        </w:rPr>
        <w:t xml:space="preserve">Particiones de Equivalencia (EP)</w:t>
      </w:r>
      <w:r>
        <w:t xml:space="preserve">, </w:t>
      </w:r>
      <w:r>
        <w:rPr>
          <w:b/>
          <w:bCs/>
        </w:rPr>
        <w:t xml:space="preserve">Análisis de Valores Límite (BVA)</w:t>
      </w:r>
      <w:r>
        <w:t xml:space="preserve"> y </w:t>
      </w:r>
      <w:r>
        <w:rPr>
          <w:b/>
          <w:bCs/>
        </w:rPr>
        <w:t xml:space="preserve">Tablas de Decisión</w:t>
      </w:r>
      <w:r>
        <w:t xml:space="preserve">. Se ejecutan contra la API real (</w:t>
      </w:r>
      <w:r>
        <w:rPr>
          <w:rFonts w:ascii="Courier New" w:cs="Courier New" w:eastAsia="Courier New" w:hAnsi="Courier New"/>
          <w:sz w:val="20"/>
          <w:szCs w:val="20"/>
        </w:rPr>
        <w:t xml:space="preserve">POST /api/v1/pricing/quote</w:t>
      </w:r>
      <w:r>
        <w:t xml:space="preserve">, sin dobles de prueba) y contra la interfaz del cotizador.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4. Variables del dominio de prueba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1900"/>
        <w:gridCol w:w="3360"/>
        <w:gridCol w:w="2200"/>
      </w:tblGrid>
      <w:tr>
        <w:trPr>
          <w:cantSplit/>
          <w:tblHeader/>
        </w:trPr>
        <w:tc>
          <w:tcPr>
            <w:tcW w:type="dxa" w:w="1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1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Naturaleza</w:t>
            </w:r>
          </w:p>
        </w:tc>
        <w:tc>
          <w:tcPr>
            <w:tcW w:type="dxa" w:w="33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Dominio válido</w:t>
            </w:r>
          </w:p>
        </w:tc>
        <w:tc>
          <w:tcPr>
            <w:tcW w:type="dxa" w:w="22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weightKg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 numérica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 a 20.00 kg, máximo 2 decimales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de cliente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 categórica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NUEVO, FRECUENTE, VIP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de envío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 categórica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ESTANDAR, EXPRESS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Monto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Salida numérica (USD)</w:t>
            </w:r>
          </w:p>
        </w:tc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Cargo por peso, subtotal, descuento, recargo y total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Calculado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El sistema no recibe un monto como dato de entrada: el </w:t>
      </w:r>
      <w:r>
        <w:rPr>
          <w:b/>
          <w:bCs/>
        </w:rPr>
        <w:t xml:space="preserve">Monto</w:t>
      </w:r>
      <w:r>
        <w:t xml:space="preserve"> es el importe que calcula la tarifa. Por ello, para este campo se particiona el </w:t>
      </w:r>
      <w:r>
        <w:rPr>
          <w:b/>
          <w:bCs/>
        </w:rPr>
        <w:t xml:space="preserve">dominio de salida</w:t>
      </w:r>
      <w:r>
        <w:t xml:space="preserve">: para cada clase de monto se deriva la entrada que la produce y se verifican sus límites, incluido el redondeo al centavo.</w:t>
      </w:r>
    </w:p>
    <w:p>
      <w:pPr>
        <w:spacing w:after="140" w:line="276"/>
        <w:jc w:val="both"/>
      </w:pPr>
      <w:r>
        <w:t xml:space="preserve">Para aislar el efecto del peso, sus casos fijan el cliente en NUEVO y el envío en ESTANDAR (sin descuento ni recargo).</w:t>
      </w:r>
    </w:p>
    <w:p>
      <w:pPr>
        <w:pStyle w:val="Heading2"/>
        <w:keepNext/>
      </w:pPr>
      <w:r>
        <w:t xml:space="preserve">1.2 Particiones de equivalencia: Peso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5. Clases de equivalencia del Peso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3100"/>
        <w:gridCol w:w="1300"/>
        <w:gridCol w:w="4060"/>
      </w:tblGrid>
      <w:tr>
        <w:trPr>
          <w:cantSplit/>
          <w:tblHeader/>
        </w:trPr>
        <w:tc>
          <w:tcPr>
            <w:tcW w:type="dxa" w:w="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Clase</w:t>
            </w:r>
          </w:p>
        </w:tc>
        <w:tc>
          <w:tcPr>
            <w:tcW w:type="dxa" w:w="31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Condición</w:t>
            </w:r>
          </w:p>
        </w:tc>
        <w:tc>
          <w:tcPr>
            <w:tcW w:type="dxa" w:w="13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0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Respuesta esperada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CV1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 ≤ peso ≤ 5.00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Válida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200; tarifa $2.00/kg (tramo 1)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CV2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5.01 ≤ peso ≤ 20.00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Válida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200; tarifa $4.00/kg (tramo 2)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CI1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peso &lt; 0.01 (cero o negativo)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Inválida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INVALID_WEIGHT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CI2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peso &gt; 20.00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Inválida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WEIGHT_LIMIT_EXCEEDED (envío rechazado)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CI3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peso con más de 2 decimales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Inválida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INVALID_WEIGHT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CI4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 no numérico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Inválida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VALIDATION_ERROR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CI5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 ausente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Inválida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VALIDATION_ERROR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6. Casos de prueba por partición (Peso)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800"/>
        <w:gridCol w:w="1500"/>
        <w:gridCol w:w="4760"/>
        <w:gridCol w:w="1200"/>
      </w:tblGrid>
      <w:tr>
        <w:trPr>
          <w:cantSplit/>
          <w:tblHeader/>
        </w:trPr>
        <w:tc>
          <w:tcPr>
            <w:tcW w:type="dxa" w:w="11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Clase</w:t>
            </w:r>
          </w:p>
        </w:tc>
        <w:tc>
          <w:tcPr>
            <w:tcW w:type="dxa" w:w="15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Entrada (kg)</w:t>
            </w:r>
          </w:p>
        </w:tc>
        <w:tc>
          <w:tcPr>
            <w:tcW w:type="dxa" w:w="47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Obtenido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EP-P-01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CV1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· $2.00/kg · cargo $6.00 · total $11.00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EP-P-02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CV2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 · $4.00/kg · cargo $50.00 · total $55.00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EP-P-03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CI1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INVALID_WEIGHT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EP-P-04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WEIGHT_LIMIT_EXCEEDED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EP-P-05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CI3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2.555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INVALID_WEIGHT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EP-P-06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CI4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"10" (texto)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VALIDATION_ERROR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EP-P-07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CI5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(ausente)</w:t>
            </w:r>
          </w:p>
        </w:tc>
        <w:tc>
          <w:tcPr>
            <w:tcW w:type="dxa" w:w="4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VALIDATION_ERROR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</w:tbl>
    <w:p>
      <w:pPr>
        <w:pStyle w:val="Heading2"/>
        <w:keepNext/>
      </w:pPr>
      <w:r>
        <w:t xml:space="preserve">1.3 Análisis de valores límite: Peso</w:t>
      </w:r>
    </w:p>
    <w:p>
      <w:pPr>
        <w:spacing w:after="140" w:line="276"/>
        <w:jc w:val="both"/>
      </w:pPr>
      <w:r>
        <w:t xml:space="preserve">Los límites del dominio son 0.01 kg (mínimo), 5.00 / 5.01 kg (cambio de tramo) y 20.00 kg (máximo). Como la precisión del peso es de 0.01 kg, se prueba cada límite junto a sus vecinos inmediato inferior y superior.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7. Casos de valores límite (Peso)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1400"/>
        <w:gridCol w:w="900"/>
        <w:gridCol w:w="1700"/>
        <w:gridCol w:w="3160"/>
        <w:gridCol w:w="1100"/>
      </w:tblGrid>
      <w:tr>
        <w:trPr>
          <w:cantSplit/>
          <w:tblHeader/>
        </w:trPr>
        <w:tc>
          <w:tcPr>
            <w:tcW w:type="dxa" w:w="11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Límite</w:t>
            </w:r>
          </w:p>
        </w:tc>
        <w:tc>
          <w:tcPr>
            <w:tcW w:type="dxa" w:w="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Valor (kg)</w:t>
            </w:r>
          </w:p>
        </w:tc>
        <w:tc>
          <w:tcPr>
            <w:tcW w:type="dxa" w:w="17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Posición</w:t>
            </w:r>
          </w:p>
        </w:tc>
        <w:tc>
          <w:tcPr>
            <w:tcW w:type="dxa" w:w="31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1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Obtenido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BVA-P-01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Mínimo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Justo debajo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INVALID_WEIGHT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BVA-P-02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Mínimo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 el límite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$2.00/kg · cargo $0.02 · total $5.02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BVA-P-03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Mínimo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Justo encima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$2.00/kg · cargo $0.04 · total $5.04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BVA-P-04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Cambio de tramo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Justo debajo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$2.00/kg · cargo $9.98 · total $14.98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BVA-P-05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Cambio de tramo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Máximo del tramo 1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$2.00/kg · cargo $10.00 · total $15.00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BVA-P-06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Cambio de tramo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Mínimo del tramo 2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$4.00/kg · cargo $20.04 · total $25.04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BVA-P-07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Cambio de tramo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Justo encima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$4.00/kg · cargo $20.08 · total $25.08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BVA-P-08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Máximo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Justo debajo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$4.00/kg · cargo $79.96 · total $84.96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BVA-P-09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Máximo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 el límite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$4.00/kg · cargo $80.00 · total $85.00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BVA-P-10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Máximo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Justo encima</w:t>
            </w:r>
          </w:p>
        </w:tc>
        <w:tc>
          <w:tcPr>
            <w:tcW w:type="dxa" w:w="3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WEIGHT_LIMIT_EXCEEDED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</w:tbl>
    <w:p>
      <w:pPr>
        <w:pStyle w:val="Heading2"/>
        <w:keepNext/>
      </w:pPr>
      <w:r>
        <w:t xml:space="preserve">1.4 Particiones de equivalencia: Monto</w:t>
      </w:r>
    </w:p>
    <w:p>
      <w:pPr>
        <w:spacing w:after="140" w:line="276"/>
        <w:jc w:val="both"/>
      </w:pPr>
      <w:r>
        <w:t xml:space="preserve">El monto mínimo posible es $4.02 (0.01 kg, cliente VIP, envío ESTANDAR: subtotal $5.02 − descuento $1.00) y el máximo es $106.25 (20.00 kg, cliente NUEVO, envío EXPRESS: subtotal $85.00 + recargo $21.25). Por el salto de tarifa entre tramos, el cargo por peso no puede tomar valores entre $10.00 y $20.04.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8. Clases de equivalencia y casos del Monto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2100"/>
        <w:gridCol w:w="1300"/>
        <w:gridCol w:w="1800"/>
        <w:gridCol w:w="2260"/>
        <w:gridCol w:w="900"/>
      </w:tblGrid>
      <w:tr>
        <w:trPr>
          <w:cantSplit/>
          <w:tblHeader/>
        </w:trPr>
        <w:tc>
          <w:tcPr>
            <w:tcW w:type="dxa" w:w="10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Clase de monto</w:t>
            </w:r>
          </w:p>
        </w:tc>
        <w:tc>
          <w:tcPr>
            <w:tcW w:type="dxa" w:w="13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Entrada que la produce</w:t>
            </w:r>
          </w:p>
        </w:tc>
        <w:tc>
          <w:tcPr>
            <w:tcW w:type="dxa" w:w="22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Obtenido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EP-M-01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por peso en [$0.02, $10.00]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Válida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2.5 kg · NUEVO · ESTANDAR</w:t>
            </w:r>
          </w:p>
        </w:tc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$5.00 · total $10.00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EP-M-02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por peso en [$20.04, $80.00]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Válida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8 kg · NUEVO · ESTANDAR</w:t>
            </w:r>
          </w:p>
        </w:tc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$32.00 · total $37.00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EP-M-03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por peso en ($10.00, $20.04)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alcanzable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5.00 kg y 5.01 kg</w:t>
            </w:r>
          </w:p>
        </w:tc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$10.00 y $20.04: ningún peso válido produce un valor intermedio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EP-M-04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en [$4.02, $106.25]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Válida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kg · VIP · EXPRESS</w:t>
            </w:r>
          </w:p>
        </w:tc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subtotal $45.00 · −$9.00 · +$11.25 · total $47.25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EP-M-05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Monto con fracción de centavo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Válida (se redondea)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0.03 kg · FRECUENTE · EXPRESS</w:t>
            </w:r>
          </w:p>
        </w:tc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descuento 0.506 → $0.51 · recargo 1.265 → $1.27 · total $5.82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EP-M-06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mayor que $106.25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Inválida (no se genera)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20.01 kg · NUEVO · EXPRESS</w:t>
            </w:r>
          </w:p>
        </w:tc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422, sin desglose de monto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</w:tbl>
    <w:p>
      <w:pPr>
        <w:pStyle w:val="Heading2"/>
        <w:keepNext/>
      </w:pPr>
      <w:r>
        <w:t xml:space="preserve">1.5 Análisis de valores límite: Monto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9. Casos de valores límite (Monto)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2000"/>
        <w:gridCol w:w="2300"/>
        <w:gridCol w:w="3060"/>
        <w:gridCol w:w="900"/>
      </w:tblGrid>
      <w:tr>
        <w:trPr>
          <w:cantSplit/>
          <w:tblHeader/>
        </w:trPr>
        <w:tc>
          <w:tcPr>
            <w:tcW w:type="dxa" w:w="11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Caso límite</w:t>
            </w:r>
          </w:p>
        </w:tc>
        <w:tc>
          <w:tcPr>
            <w:tcW w:type="dxa" w:w="23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Entrada</w:t>
            </w:r>
          </w:p>
        </w:tc>
        <w:tc>
          <w:tcPr>
            <w:tcW w:type="dxa" w:w="30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Obtenido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BVA-M-01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mínimo posible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 kg · VIP · ESTANDAR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subtotal $5.02 · descuento 1.004 → $1.00 · total $4.02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BVA-M-02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máximo posible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20.00 kg · NUEVO · EXPRESS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subtotal $85.00 · recargo $21.25 · total $106.25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BVA-M-03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Justo encima del total máximo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20.01 kg · NUEVO · EXPRESS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422: no se genera monto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BVA-M-04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máximo del tramo 1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5.00 kg · NUEVO · ESTANDAR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$10.00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BVA-M-05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mínimo del tramo 2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5.01 kg · NUEVO · ESTANDAR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$20.04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BVA-M-06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Medio centavo exacto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 kg · NUEVO · EXPRESS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recargo 1.255 → $1.26 (hacia arriba) · total $6.28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BVA-M-07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Debajo del medio centavo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 kg · FRECUENTE · ESTANDAR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descuento 0.502 → $0.50 (hacia abajo) · total $4.52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BVA-M-08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Importe exacto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0.02 kg · NUEVO · EXPRESS</w:t>
            </w:r>
          </w:p>
        </w:tc>
        <w:tc>
          <w:tcPr>
            <w:tcW w:type="dxa" w:w="3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recargo $1.26 (sin redondeo) · total $6.30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</w:tbl>
    <w:p>
      <w:pPr>
        <w:pStyle w:val="Heading2"/>
        <w:keepNext/>
      </w:pPr>
      <w:r>
        <w:t xml:space="preserve">1.6 Particiones de equivalencia: Tipo de cliente y Tipo de envío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10. Clases de equivalencia de los campos categóricos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1250"/>
        <w:gridCol w:w="1750"/>
        <w:gridCol w:w="950"/>
        <w:gridCol w:w="1650"/>
        <w:gridCol w:w="1860"/>
        <w:gridCol w:w="900"/>
      </w:tblGrid>
      <w:tr>
        <w:trPr>
          <w:cantSplit/>
          <w:tblHeader/>
        </w:trPr>
        <w:tc>
          <w:tcPr>
            <w:tcW w:type="dxa" w:w="10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25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75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Clase</w:t>
            </w:r>
          </w:p>
        </w:tc>
        <w:tc>
          <w:tcPr>
            <w:tcW w:type="dxa" w:w="95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65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Valor de prueba</w:t>
            </w:r>
          </w:p>
        </w:tc>
        <w:tc>
          <w:tcPr>
            <w:tcW w:type="dxa" w:w="18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Obtenido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EP-C-01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 de cliente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del dominio</w:t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Válida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NUEVO, FRECUENTE, VIP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 (reglas R1–R6)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EP-C-02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 de cliente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fuera del dominio</w:t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Inválida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GOLD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VALIDATION_ERROR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EP-C-03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 de cliente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Distinto uso de mayúsculas</w:t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Inválida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vip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VALIDATION_ERROR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EP-C-04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 de cliente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Ausente</w:t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Inválida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(ausente)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VALIDATION_ERROR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EP-E-01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 de envío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del dominio</w:t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Válida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ESTANDAR, EXPRESS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 (reglas R1–R6)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EP-E-02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 de envío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fuera del dominio</w:t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Inválida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VALIDATION_ERROR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EP-E-03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 de envío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Distinto uso de mayúsculas</w:t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Inválida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express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VALIDATION_ERROR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EP-E-04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Tipo de envío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Ausente</w:t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Inválida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(ausente)</w:t>
            </w:r>
          </w:p>
        </w:tc>
        <w:tc>
          <w:tcPr>
            <w:tcW w:type="dxa" w:w="1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VALIDATION_ERROR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</w:tbl>
    <w:p>
      <w:pPr>
        <w:pStyle w:val="Heading2"/>
        <w:keepNext/>
      </w:pPr>
      <w:r>
        <w:t xml:space="preserve">1.7 Tabla de decisión: Tipo de Cliente + Tipo de Envío</w:t>
      </w:r>
    </w:p>
    <w:p>
      <w:pPr>
        <w:spacing w:after="140" w:line="276"/>
        <w:jc w:val="both"/>
      </w:pPr>
      <w:r>
        <w:t xml:space="preserve">Las condiciones son el tipo de cliente (3 valores) y el tipo de envío (2 valores), que dan 3 × 2 = 6 reglas. Se añade la condición de peso válido: cuando el peso supera el límite, el envío se rechaza con independencia del cliente y del envío, por lo que esa regla se reduce a una sola (R7) con condiciones indiferentes (—).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11. Tabla de decisión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60"/>
        <w:gridCol w:w="970"/>
        <w:gridCol w:w="970"/>
        <w:gridCol w:w="970"/>
        <w:gridCol w:w="970"/>
        <w:gridCol w:w="970"/>
        <w:gridCol w:w="970"/>
        <w:gridCol w:w="980"/>
      </w:tblGrid>
      <w:tr>
        <w:trPr>
          <w:cantSplit/>
          <w:tblHeader/>
        </w:trPr>
        <w:tc>
          <w:tcPr>
            <w:tcW w:type="dxa" w:w="25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Condiciones / Acciones</w:t>
            </w:r>
          </w:p>
        </w:tc>
        <w:tc>
          <w:tcPr>
            <w:tcW w:type="dxa" w:w="97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R1</w:t>
            </w:r>
          </w:p>
        </w:tc>
        <w:tc>
          <w:tcPr>
            <w:tcW w:type="dxa" w:w="97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R2</w:t>
            </w:r>
          </w:p>
        </w:tc>
        <w:tc>
          <w:tcPr>
            <w:tcW w:type="dxa" w:w="97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R3</w:t>
            </w:r>
          </w:p>
        </w:tc>
        <w:tc>
          <w:tcPr>
            <w:tcW w:type="dxa" w:w="97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R4</w:t>
            </w:r>
          </w:p>
        </w:tc>
        <w:tc>
          <w:tcPr>
            <w:tcW w:type="dxa" w:w="97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R5</w:t>
            </w:r>
          </w:p>
        </w:tc>
        <w:tc>
          <w:tcPr>
            <w:tcW w:type="dxa" w:w="97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R6</w:t>
            </w:r>
          </w:p>
        </w:tc>
        <w:tc>
          <w:tcPr>
            <w:tcW w:type="dxa" w:w="98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R7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C1</w:t>
            </w:r>
            <w:r>
              <w:rPr>
                <w:b w:val="false"/>
                <w:bCs w:val="false"/>
                <w:sz w:val="16"/>
                <w:szCs w:val="16"/>
              </w:rPr>
              <w:t xml:space="preserve"> Peso entre 0.01 y 20.00 kg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C2</w:t>
            </w:r>
            <w:r>
              <w:rPr>
                <w:b w:val="false"/>
                <w:bCs w:val="false"/>
                <w:sz w:val="16"/>
                <w:szCs w:val="16"/>
              </w:rPr>
              <w:t xml:space="preserve"> Tipo de cliente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NUEVO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NUEVO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FRECU-</w:t>
            </w:r>
          </w:p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ENTE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FRECU-</w:t>
            </w:r>
          </w:p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ENTE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VIP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VIP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C3</w:t>
            </w:r>
            <w:r>
              <w:rPr>
                <w:b w:val="false"/>
                <w:bCs w:val="false"/>
                <w:sz w:val="16"/>
                <w:szCs w:val="16"/>
              </w:rPr>
              <w:t xml:space="preserve"> Tipo de envío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ESTÁN-</w:t>
            </w:r>
          </w:p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DAR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EXPRESS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ESTÁN-</w:t>
            </w:r>
          </w:p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DAR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EXPRESS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ESTÁN-</w:t>
            </w:r>
          </w:p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DAR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EXPRESS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A1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Descuento sobre el subtotal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20 %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A2</w:t>
            </w:r>
            <w:r>
              <w:rPr>
                <w:b w:val="false"/>
                <w:bCs w:val="false"/>
                <w:sz w:val="16"/>
                <w:szCs w:val="16"/>
              </w:rPr>
              <w:t xml:space="preserve"> Recargo sobre el subtotal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0 %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25 %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A3</w:t>
            </w:r>
            <w:r>
              <w:rPr>
                <w:b w:val="false"/>
                <w:bCs w:val="false"/>
                <w:sz w:val="16"/>
                <w:szCs w:val="16"/>
              </w:rPr>
              <w:t xml:space="preserve"> Calcular el total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X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X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X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X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X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X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A4</w:t>
            </w:r>
            <w:r>
              <w:rPr>
                <w:b w:val="false"/>
                <w:bCs w:val="false"/>
                <w:sz w:val="16"/>
                <w:szCs w:val="16"/>
              </w:rPr>
              <w:t xml:space="preserve"> Rechazar el envío (422)</w:t>
            </w: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X</w:t>
            </w:r>
          </w:p>
        </w:tc>
      </w:tr>
    </w:tbl>
    <w:p>
      <w:pPr>
        <w:spacing w:after="120"/>
      </w:pPr>
    </w:p>
    <w:p>
      <w:pPr>
        <w:keepNext/>
        <w:spacing w:after="140" w:line="276"/>
        <w:jc w:val="both"/>
      </w:pPr>
      <w:r>
        <w:t xml:space="preserve">Cada regla se prueba con un peso de referencia de 10 kg (subtotal $45.00 = $5.00 + 10 × $4.00):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12. Casos de prueba de la tabla de decisión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2960"/>
        <w:gridCol w:w="1300"/>
        <w:gridCol w:w="1300"/>
        <w:gridCol w:w="1800"/>
        <w:gridCol w:w="1200"/>
      </w:tblGrid>
      <w:tr>
        <w:trPr>
          <w:cantSplit/>
          <w:tblHeader/>
        </w:trPr>
        <w:tc>
          <w:tcPr>
            <w:tcW w:type="dxa" w:w="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Regla</w:t>
            </w:r>
          </w:p>
        </w:tc>
        <w:tc>
          <w:tcPr>
            <w:tcW w:type="dxa" w:w="29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Entrada</w:t>
            </w:r>
          </w:p>
        </w:tc>
        <w:tc>
          <w:tcPr>
            <w:tcW w:type="dxa" w:w="13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Descuento</w:t>
            </w:r>
          </w:p>
        </w:tc>
        <w:tc>
          <w:tcPr>
            <w:tcW w:type="dxa" w:w="13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Recargo</w:t>
            </w:r>
          </w:p>
        </w:tc>
        <w:tc>
          <w:tcPr>
            <w:tcW w:type="dxa" w:w="1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esperado</w:t>
            </w:r>
          </w:p>
        </w:tc>
        <w:tc>
          <w:tcPr>
            <w:tcW w:type="dxa" w:w="12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Obtenido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kg · NUEVO · ESTANDAR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$45.00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kg · NUEVO · EXPRESS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+$11.25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$56.25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kg · FRECUENTE · ESTANDAR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−$4.50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$40.50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kg · FRECUENTE · EXPRESS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−$4.50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+$11.25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$51.75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kg · VIP · ESTANDAR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−$9.00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$36.00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R6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kg · VIP · EXPRESS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−$9.00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+$11.25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$47.25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R7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 kg · las 6 combinaciones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422 (rechazo)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</w:tbl>
    <w:p>
      <w:pPr>
        <w:pStyle w:val="Heading2"/>
        <w:keepNext/>
      </w:pPr>
      <w:r>
        <w:t xml:space="preserve">1.8 Pruebas de caja negra en el Frontend</w:t>
      </w:r>
    </w:p>
    <w:p>
      <w:pPr>
        <w:spacing w:after="140" w:line="276"/>
        <w:jc w:val="both"/>
      </w:pPr>
      <w:r>
        <w:t xml:space="preserve">En la interfaz se verifica lo que el usuario ve para cada partición del campo Peso y al cambiar la combinación de la tabla de decisión. La página del cotizador se renderiza completa; solo se simula el servicio que llama al backend, de modo que la prueba observa entradas y salidas en pantalla. El campo acepta coma o punto decimal y valida el formato antes de llamar a la API; los límites de negocio los aplica el backend.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13. Casos de prueba de la interfaz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2200"/>
        <w:gridCol w:w="1300"/>
        <w:gridCol w:w="3960"/>
        <w:gridCol w:w="1100"/>
      </w:tblGrid>
      <w:tr>
        <w:trPr>
          <w:cantSplit/>
          <w:tblHeader/>
        </w:trPr>
        <w:tc>
          <w:tcPr>
            <w:tcW w:type="dxa" w:w="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Partición / acción</w:t>
            </w:r>
          </w:p>
        </w:tc>
        <w:tc>
          <w:tcPr>
            <w:tcW w:type="dxa" w:w="13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Entrada</w:t>
            </w:r>
          </w:p>
        </w:tc>
        <w:tc>
          <w:tcPr>
            <w:tcW w:type="dxa" w:w="39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Resultado esperado en pantalla</w:t>
            </w:r>
          </w:p>
        </w:tc>
        <w:tc>
          <w:tcPr>
            <w:tcW w:type="dxa" w:w="11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Obtenido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UI-01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Campo vacío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""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Estado inicial "Tu tarifa aparecerá aquí"; no se llama a la API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UI-02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Peso válido con coma decimal (CV1)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"3,5"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"Total a pagar" con $12.00; la API recibe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weightKg</w:t>
            </w:r>
            <w:r>
              <w:rPr>
                <w:b w:val="false"/>
                <w:bCs w:val="false"/>
                <w:sz w:val="17"/>
                <w:szCs w:val="17"/>
              </w:rPr>
              <w:t xml:space="preserve"> = 3.5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UI-03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no numérico (CI4)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"abc"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 en el campo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aria-invalid</w:t>
            </w:r>
            <w:r>
              <w:rPr>
                <w:b w:val="false"/>
                <w:bCs w:val="false"/>
                <w:sz w:val="17"/>
                <w:szCs w:val="17"/>
              </w:rPr>
              <w:t xml:space="preserve">); no se llama a la API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UI-04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Peso por encima del límite (CI2)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"25"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Panel "Límite de peso excedido"; no se muestra total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UI-05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Peso por debajo del mínimo (CI1)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"0"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Mensaje "El peso mínimo es 0.01 kg." en el campo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UI-06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Cambio de combinación (R6)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kg · VIP · Express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vuelve a cotizar con VIP + EXPRESS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UI-07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Crear orden desde la cotización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kg · "Ana Pérez"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Exige el nombre; crea la orden, muestra el aviso "Orden #… creada" y abre su detalle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UI-08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Fallo al crear la orden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 500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Muestra el mensaje del servidor bajo el formulario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UI-09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Fallo de conexión al cotizar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 de red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Panel de error; "Reintentar" vuelve a cotizar y muestra el total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UI-10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Cotización en curso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Respuesta pendiente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Indica "Calculando tarifa…"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UI-11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Efecto del cliente y del envío (BR-03, BR-04)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VIP · Express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"20% de descuento" y "+25% de recargo"; "Limpiar" restablece el formulario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UI-12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Tarifas vigentes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Reglas del backend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Muestra tarifa base, tramos, "No se admite" y recargos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UI-13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Tarifas no disponibles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 al cargar reglas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Aviso "No se pudieron cargar las tarifas"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UI-14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Tarifas en carga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Respuesta pendiente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Indicador de progreso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UI-15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Resumen fuera de la vista (móvil)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calculado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Barra "Ver desglose" que desplaza hasta el resumen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Además, </w:t>
      </w:r>
      <w:r>
        <w:rPr>
          <w:rFonts w:ascii="Courier New" w:cs="Courier New" w:eastAsia="Courier New" w:hAnsi="Courier New"/>
          <w:sz w:val="20"/>
          <w:szCs w:val="20"/>
        </w:rPr>
        <w:t xml:space="preserve">frontend/src/viewmodels/weightInput.test.ts</w:t>
      </w:r>
      <w:r>
        <w:t xml:space="preserve"> (12 pruebas) cubre las particiones del campo en el cliente: vacío, números con punto o coma, valores como "5." o ".75", y entradas inválidas como "abc", "-1", "1.2.3", "1e3" o "2 kg".</w:t>
      </w:r>
    </w:p>
    <w:p>
      <w:r>
        <w:br w:type="page"/>
      </w:r>
    </w:p>
    <w:p>
      <w:pPr>
        <w:pStyle w:val="Heading1"/>
      </w:pPr>
      <w:r>
        <w:t xml:space="preserve">2. Plan de Pruebas de Caja Blanca (QA + Backend)</w:t>
      </w:r>
    </w:p>
    <w:p>
      <w:pPr>
        <w:pStyle w:val="Heading2"/>
        <w:keepNext/>
      </w:pPr>
      <w:r>
        <w:t xml:space="preserve">2.1 Función bajo prueba</w:t>
      </w:r>
    </w:p>
    <w:p>
      <w:pPr>
        <w:spacing w:after="140" w:line="276"/>
        <w:jc w:val="both"/>
      </w:pPr>
      <w:r>
        <w:t xml:space="preserve">El algoritmo principal de cálculo de la tarifa es </w:t>
      </w:r>
      <w:r>
        <w:rPr>
          <w:rFonts w:ascii="Courier New" w:cs="Courier New" w:eastAsia="Courier New" w:hAnsi="Courier New"/>
          <w:sz w:val="20"/>
          <w:szCs w:val="20"/>
        </w:rPr>
        <w:t xml:space="preserve">calculateShippingCost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backend/src/domain/pricing/calculate-shipping-cost.ts</w:t>
      </w:r>
      <w:r>
        <w:t xml:space="preserve">), junto con las funciones auxiliares que invoca: </w:t>
      </w:r>
      <w:r>
        <w:rPr>
          <w:rFonts w:ascii="Courier New" w:cs="Courier New" w:eastAsia="Courier New" w:hAnsi="Courier New"/>
          <w:sz w:val="20"/>
          <w:szCs w:val="20"/>
        </w:rPr>
        <w:t xml:space="preserve">toCentiKg</w:t>
      </w:r>
      <w:r>
        <w:t xml:space="preserve"> (validación y conversión del peso a centésimas de kg), </w:t>
      </w:r>
      <w:r>
        <w:rPr>
          <w:rFonts w:ascii="Courier New" w:cs="Courier New" w:eastAsia="Courier New" w:hAnsi="Courier New"/>
          <w:sz w:val="20"/>
          <w:szCs w:val="20"/>
        </w:rPr>
        <w:t xml:space="preserve">findWeightTier</w:t>
      </w:r>
      <w:r>
        <w:t xml:space="preserve"> (selección del tramo) y </w:t>
      </w:r>
      <w:r>
        <w:rPr>
          <w:rFonts w:ascii="Courier New" w:cs="Courier New" w:eastAsia="Courier New" w:hAnsi="Courier New"/>
          <w:sz w:val="20"/>
          <w:szCs w:val="20"/>
        </w:rPr>
        <w:t xml:space="preserve">percentOf</w:t>
      </w:r>
      <w:r>
        <w:t xml:space="preserve"> (porcentajes con redondeo). El siguiente fragmento, simplificado, indica el nodo del grafo que corresponde a cada sentencia.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export function calculateShippingCost(shipment, rules = PRICING_RULES) {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const weightCentiKg = toCentiKg(shipment.weightKg);              // 1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const weightTier = findWeightTier(weightKg, weightCentiKg, rules);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const weightChargeCents = round(weightCentiKg * tier.ratePerKg / 100);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const subtotalCents = rules.baseFeeCents + weightChargeCents;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const discountCents = percentOf(subtotalCents, discount%[cliente]);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const surchargeCents = percentOf(subtotalCents, surcharge%[envío]);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return { ..., totalCents: subtotal - discount + surcharge };   // 15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}                                                                  // 16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function toCentiKg(weightKg) {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if (!Number.isFinite(weightKg))                                  // 2  D1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  throw new InvalidWeightError("...número válido.");             // 3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const centiKg = Math.round(weightKg * 100);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if (Math.abs(weightKg * 100 - centiKg) &gt; 1e-6)                   // 4  D2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  throw new InvalidWeightError("...máximo 2 decimales.");        // 5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return centiKg;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function findWeightTier(weightKg, weightCentiKg, rules) {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if (weightCentiKg &lt; toCentiKg(minWeightKg(rules)))               // 6  D3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  throw new InvalidWeightError("El peso mínimo es 0.01 kg.");    // 7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if (weightCentiKg &gt; toCentiKg(maxWeightKg(rules)))               // 8  D4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  throw new WeightLimitExceededError(weightKg, max);             // 9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const tier = rules.weightTiers.find((t) =&gt;                       // 10 D5 / 12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  weightCentiKg &gt;= toCentiKg(t.minKg) &amp;&amp;                         // 11 D6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  weightCentiKg &lt;= toCentiKg(t.maxKg));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if (!tier)                                                       // 13 D7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  throw new Error("No hay un tramo de peso configurado...");     // 14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  return tier;</w:t>
      </w:r>
    </w:p>
    <w:p>
      <w:pPr>
        <w:keepNext w:val="false"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40" w:line="276"/>
        <w:jc w:val="both"/>
      </w:pPr>
      <w:r>
        <w:t xml:space="preserve">Las llamadas a </w:t>
      </w:r>
      <w:r>
        <w:rPr>
          <w:rFonts w:ascii="Courier New" w:cs="Courier New" w:eastAsia="Courier New" w:hAnsi="Courier New"/>
          <w:sz w:val="20"/>
          <w:szCs w:val="20"/>
        </w:rPr>
        <w:t xml:space="preserve">toCentiKg</w:t>
      </w:r>
      <w:r>
        <w:t xml:space="preserve"> sobre los límites de la configuración (nodos 6, 8 y 11) operan sobre constantes válidas y se modelan como sentencias simples. La búsqueda con </w:t>
      </w:r>
      <w:r>
        <w:rPr>
          <w:rFonts w:ascii="Courier New" w:cs="Courier New" w:eastAsia="Courier New" w:hAnsi="Courier New"/>
          <w:sz w:val="20"/>
          <w:szCs w:val="20"/>
        </w:rPr>
        <w:t xml:space="preserve">Array.prototype.find</w:t>
      </w:r>
      <w:r>
        <w:t xml:space="preserve"> se modela como el bucle que recorre los tramos (nodos 10, 11 y 12).</w:t>
      </w:r>
    </w:p>
    <w:p>
      <w:pPr>
        <w:pStyle w:val="Heading2"/>
        <w:keepNext/>
      </w:pPr>
      <w:r>
        <w:t xml:space="preserve">2.2 Grafo de Flujo de Control (CFG)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429000" cy="6677025"/>
            <wp:effectExtent t="0" r="0" b="0" l="0"/>
            <wp:docPr id="1" name="cfg.png" descr="cfg.png" title="cf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19"/>
          <w:szCs w:val="19"/>
        </w:rPr>
        <w:t xml:space="preserve">Figura 1. Grafo de flujo de control de calculateShippingCost (incluye toCentiKg y findWeightTier)</w:t>
      </w:r>
    </w:p>
    <w:p>
      <w:pPr>
        <w:spacing w:after="140" w:line="276"/>
        <w:jc w:val="both"/>
      </w:pPr>
      <w:r>
        <w:t xml:space="preserve">Las salidas por excepción (nodos 3, 5, 7, 9 y 14) se unen al nodo 16 para obtener un grafo con una única entrada y una única salida.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14. Nodos del grafo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1700"/>
        <w:gridCol w:w="6860"/>
      </w:tblGrid>
      <w:tr>
        <w:trPr>
          <w:cantSplit/>
          <w:tblHeader/>
        </w:trPr>
        <w:tc>
          <w:tcPr>
            <w:tcW w:type="dxa" w:w="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Nodo</w:t>
            </w:r>
          </w:p>
        </w:tc>
        <w:tc>
          <w:tcPr>
            <w:tcW w:type="dxa" w:w="17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8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Código / acción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Proceso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Inicio: recibe el envío y las reglas; invoca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toCentiKg(peso)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Predicado D1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!Number.isFinite(weightKg)</w:t>
            </w:r>
            <w:r>
              <w:rPr>
                <w:b w:val="false"/>
                <w:bCs w:val="false"/>
                <w:sz w:val="17"/>
                <w:szCs w:val="17"/>
              </w:rPr>
              <w:t xml:space="preserve">: ¿el peso no es un número finito?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Proceso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throw InvalidWeightError("El peso debe ser un número válido.")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Predicado D2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Math.abs(weightKg * 100 − centiKg) &gt; 1e-6</w:t>
            </w:r>
            <w:r>
              <w:rPr>
                <w:b w:val="false"/>
                <w:bCs w:val="false"/>
                <w:sz w:val="17"/>
                <w:szCs w:val="17"/>
              </w:rPr>
              <w:t xml:space="preserve">: ¿más de 2 decimales?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Proceso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throw InvalidWeightError("El peso admite como máximo 2 decimales.")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Predicado D3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weightCentiKg &lt; toCentiKg(min)</w:t>
            </w:r>
            <w:r>
              <w:rPr>
                <w:b w:val="false"/>
                <w:bCs w:val="false"/>
                <w:sz w:val="17"/>
                <w:szCs w:val="17"/>
              </w:rPr>
              <w:t xml:space="preserve">: ¿peso menor que 0.01 kg?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Proceso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throw InvalidWeightError("El peso mínimo es 0.01 kg.")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Predicado D4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weightCentiKg &gt; toCentiKg(max)</w:t>
            </w:r>
            <w:r>
              <w:rPr>
                <w:b w:val="false"/>
                <w:bCs w:val="false"/>
                <w:sz w:val="17"/>
                <w:szCs w:val="17"/>
              </w:rPr>
              <w:t xml:space="preserve">: ¿peso mayor que 20.00 kg?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Proceso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throw WeightLimitExceededError</w:t>
            </w:r>
            <w:r>
              <w:rPr>
                <w:b w:val="false"/>
                <w:bCs w:val="false"/>
                <w:sz w:val="17"/>
                <w:szCs w:val="17"/>
              </w:rPr>
              <w:t xml:space="preserve"> (BR-02: envío rechazado)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Predicado D5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weightTiers.find(...)</w:t>
            </w:r>
            <w:r>
              <w:rPr>
                <w:b w:val="false"/>
                <w:bCs w:val="false"/>
                <w:sz w:val="17"/>
                <w:szCs w:val="17"/>
              </w:rPr>
              <w:t xml:space="preserve">: ¿quedan tramos por revisar?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Predicado D6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minKg ≤ peso &amp;&amp; peso ≤ maxKg</w:t>
            </w:r>
            <w:r>
              <w:rPr>
                <w:b w:val="false"/>
                <w:bCs w:val="false"/>
                <w:sz w:val="17"/>
                <w:szCs w:val="17"/>
              </w:rPr>
              <w:t xml:space="preserve">: ¿el peso está en el tramo actual?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Proceso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Pasar al siguiente tramo (i = i + 1)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Predicado D7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!tier</w:t>
            </w:r>
            <w:r>
              <w:rPr>
                <w:b w:val="false"/>
                <w:bCs w:val="false"/>
                <w:sz w:val="17"/>
                <w:szCs w:val="17"/>
              </w:rPr>
              <w:t xml:space="preserve">: ¿no se encontró tramo?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Proceso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throw Error("No hay un tramo de peso configurado…")</w:t>
            </w:r>
            <w:r>
              <w:rPr>
                <w:b w:val="false"/>
                <w:bCs w:val="false"/>
                <w:sz w:val="17"/>
                <w:szCs w:val="17"/>
              </w:rPr>
              <w:t xml:space="preserve"> (defensivo)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Proceso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por peso, subtotal (BR-01, BR-02), descuento (BR-03), recargo (BR-04) y total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Salida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Fin: retorno del desglose o salida por excepción</w:t>
            </w:r>
          </w:p>
        </w:tc>
      </w:tr>
    </w:tbl>
    <w:p>
      <w:pPr>
        <w:pStyle w:val="Heading2"/>
        <w:keepNext/>
      </w:pPr>
      <w:r>
        <w:t xml:space="preserve">2.3 Cálculo de la Complejidad Ciclomática V(G)</w:t>
      </w:r>
    </w:p>
    <w:p>
      <w:pPr>
        <w:pStyle w:val="Heading3"/>
        <w:keepNext/>
      </w:pPr>
      <w:r>
        <w:t xml:space="preserve">Método 1: aristas y nodos</w:t>
      </w:r>
    </w:p>
    <w:p>
      <w:pPr>
        <w:spacing w:after="140" w:line="276"/>
        <w:jc w:val="both"/>
      </w:pPr>
      <w:r>
        <w:rPr>
          <w:b/>
          <w:bCs/>
        </w:rPr>
        <w:t xml:space="preserve">V(G) = E − N + 2</w:t>
      </w:r>
      <w:r>
        <w:t xml:space="preserve">, donde E es el número de aristas y N el número de nodos del grafo.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Nodos: N = 16 (del 1 al 16).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Aristas (E = 22): 1→2, 2→3, 2→4, 3→16, 4→5, 4→6, 5→16, 6→7, 6→8, 7→16, 8→9, 8→10, 9→16, 10→11, 10→13, 11→12, 11→13, 12→10, 13→14, 13→15, 14→16, 15→16.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Sustitución: V(G) = 22 − 16 + 2 = </w:t>
      </w:r>
      <w:r>
        <w:rPr>
          <w:b/>
          <w:bCs/>
        </w:rPr>
        <w:t xml:space="preserve">8</w:t>
      </w:r>
      <w:r>
        <w:t xml:space="preserve">.</w:t>
      </w:r>
    </w:p>
    <w:p>
      <w:pPr>
        <w:pStyle w:val="Heading3"/>
        <w:keepNext/>
      </w:pPr>
      <w:r>
        <w:t xml:space="preserve">Método 2: nodos predicado</w:t>
      </w:r>
    </w:p>
    <w:p>
      <w:pPr>
        <w:spacing w:after="140" w:line="276"/>
        <w:jc w:val="both"/>
      </w:pPr>
      <w:r>
        <w:rPr>
          <w:b/>
          <w:bCs/>
        </w:rPr>
        <w:t xml:space="preserve">V(G) = P + 1</w:t>
      </w:r>
      <w:r>
        <w:t xml:space="preserve">, donde P es el número de nodos predicado (decisiones binarias).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Nodos predicado: 2 (D1), 4 (D2), 6 (D3), 8 (D4), 10 (D5), 11 (D6) y 13 (D7). P = 7.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Sustitución: V(G) = 7 + 1 = </w:t>
      </w:r>
      <w:r>
        <w:rPr>
          <w:b/>
          <w:bCs/>
        </w:rPr>
        <w:t xml:space="preserve">8</w:t>
      </w:r>
      <w:r>
        <w:t xml:space="preserve">.</w:t>
      </w:r>
    </w:p>
    <w:p>
      <w:pPr>
        <w:pStyle w:val="Heading3"/>
        <w:keepNext/>
      </w:pPr>
      <w:r>
        <w:t xml:space="preserve">Método 3: regiones del grafo</w:t>
      </w:r>
    </w:p>
    <w:p>
      <w:pPr>
        <w:spacing w:after="140" w:line="276"/>
        <w:jc w:val="both"/>
      </w:pPr>
      <w:r>
        <w:rPr>
          <w:b/>
          <w:bCs/>
        </w:rPr>
        <w:t xml:space="preserve">V(G) = número de regiones</w:t>
      </w:r>
      <w:r>
        <w:t xml:space="preserve"> del grafo plano, incluida la región exterior.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15. Regiones del grafo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Región</w:t>
            </w:r>
          </w:p>
        </w:tc>
        <w:tc>
          <w:tcPr>
            <w:tcW w:type="dxa" w:w="81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Delimitada por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→ 3 → 16 ← 5 ← 4 ← 2 (salidas por peso no numérico y por decimales)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→ 5 → 16 ← 7 ← 6 ← 4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 → 7 → 16 ← 9 ← 8 ← 6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→ 11 → 12 → 10 (bucle de búsqueda del tramo)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→ 9 → 16 ← 14 ← 13 ← 11 → 12 → 10 ← 8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R6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 → 14 → 16 ← 15 ← 13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R7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→ 13 (rama falsa de D5) y 10 → 11 → 13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R8</w:t>
            </w:r>
          </w:p>
        </w:tc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Región exterior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Total: 7 regiones cerradas + 1 exterior = </w:t>
      </w:r>
      <w:r>
        <w:rPr>
          <w:b/>
          <w:bCs/>
        </w:rPr>
        <w:t xml:space="preserve">8</w:t>
      </w:r>
      <w:r>
        <w:t xml:space="preserve">. Los tres métodos coinciden: </w:t>
      </w:r>
      <w:r>
        <w:rPr>
          <w:b/>
          <w:bCs/>
        </w:rPr>
        <w:t xml:space="preserve">V(G) = 8</w:t>
      </w:r>
      <w:r>
        <w:t xml:space="preserve">.</w:t>
      </w:r>
    </w:p>
    <w:p>
      <w:pPr>
        <w:pStyle w:val="Heading3"/>
        <w:keepNext/>
      </w:pPr>
      <w:r>
        <w:t xml:space="preserve">Complejidad por función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16. Complejidad ciclomática de cada función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5160"/>
        <w:gridCol w:w="1400"/>
      </w:tblGrid>
      <w:tr>
        <w:trPr>
          <w:cantSplit/>
          <w:tblHeader/>
        </w:trPr>
        <w:tc>
          <w:tcPr>
            <w:tcW w:type="dxa" w:w="2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W w:type="dxa" w:w="51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Decisiones</w:t>
            </w:r>
          </w:p>
        </w:tc>
        <w:tc>
          <w:tcPr>
            <w:tcW w:type="dxa" w:w="14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V(G)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toCentiKg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sentencias if (no finito, decimales)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findWeightTier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sentencias if (mínimo, máximo, sin tramo)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Predicado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find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operador &amp;&amp; (dos condiciones)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percentOf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Ninguna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calculateShippingCost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Ninguna (secuencial)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En el grafo integrado, las decisiones suman 2 (</w:t>
      </w:r>
      <w:r>
        <w:rPr>
          <w:rFonts w:ascii="Courier New" w:cs="Courier New" w:eastAsia="Courier New" w:hAnsi="Courier New"/>
          <w:sz w:val="20"/>
          <w:szCs w:val="20"/>
        </w:rPr>
        <w:t xml:space="preserve">toCentiKg</w:t>
      </w:r>
      <w:r>
        <w:t xml:space="preserve">) + 3 (</w:t>
      </w:r>
      <w:r>
        <w:rPr>
          <w:rFonts w:ascii="Courier New" w:cs="Courier New" w:eastAsia="Courier New" w:hAnsi="Courier New"/>
          <w:sz w:val="20"/>
          <w:szCs w:val="20"/>
        </w:rPr>
        <w:t xml:space="preserve">findWeightTier</w:t>
      </w:r>
      <w:r>
        <w:t xml:space="preserve">) + 1 (bucle de </w:t>
      </w:r>
      <w:r>
        <w:rPr>
          <w:rFonts w:ascii="Courier New" w:cs="Courier New" w:eastAsia="Courier New" w:hAnsi="Courier New"/>
          <w:sz w:val="20"/>
          <w:szCs w:val="20"/>
        </w:rPr>
        <w:t xml:space="preserve">find</w:t>
      </w:r>
      <w:r>
        <w:t xml:space="preserve">) + 1 (predicado del tramo) = 7, lo que da V(G) = 8. Si la condición compuesta del nodo 11 se descompone en sus dos condiciones simples, la complejidad extendida es 9; ambas condiciones se cubren en la sección 2.5. Con V(G) = 8, el algoritmo está en el rango de riesgo bajo de McCabe (1–10).</w:t>
      </w:r>
    </w:p>
    <w:p>
      <w:pPr>
        <w:pStyle w:val="Heading2"/>
        <w:keepNext/>
      </w:pPr>
      <w:r>
        <w:t xml:space="preserve">2.4 Cobertura de caminos independientes</w:t>
      </w:r>
    </w:p>
    <w:p>
      <w:pPr>
        <w:spacing w:after="140" w:line="276"/>
        <w:jc w:val="both"/>
      </w:pPr>
      <w:r>
        <w:t xml:space="preserve">V(G) = 8 es el número de caminos de la base de caminos independientes. Se obtuvo con el método de la línea base: se toma el camino más habitual (C5, peso en el primer tramo) y se invierte una decisión cada vez.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17. Caminos independientes y casos de prueba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2900"/>
        <w:gridCol w:w="1800"/>
        <w:gridCol w:w="2760"/>
        <w:gridCol w:w="1100"/>
      </w:tblGrid>
      <w:tr>
        <w:trPr>
          <w:cantSplit/>
          <w:tblHeader/>
        </w:trPr>
        <w:tc>
          <w:tcPr>
            <w:tcW w:type="dxa" w:w="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Camino</w:t>
            </w:r>
          </w:p>
        </w:tc>
        <w:tc>
          <w:tcPr>
            <w:tcW w:type="dxa" w:w="2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Secuencia de nodos</w:t>
            </w:r>
          </w:p>
        </w:tc>
        <w:tc>
          <w:tcPr>
            <w:tcW w:type="dxa" w:w="18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Datos de prueba</w:t>
            </w:r>
          </w:p>
        </w:tc>
        <w:tc>
          <w:tcPr>
            <w:tcW w:type="dxa" w:w="27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1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Obtenido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1-2-3-16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peso = NaN e Infinity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InvalidWeightError (número no válido)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1-2-4-5-16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2.555 kg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InvalidWeightError (más de 2 decimales)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1-2-4-6-7-16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 kg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InvalidWeightError (peso mínimo)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1-2-4-6-8-9-16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20.01 kg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WeightLimitExceededError (BR-02)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1-2-4-6-8-10-11-13-15-16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 kg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Tramo 1 · total $11.00 (1 iteración)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C6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1-2-4-6-8-10-11-12-10-11-13-15-16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kg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Tramo 2 · total $45.00 (2 iteraciones)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C7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1-2-4-6-8-10-11-12-10-11-12-10-13-14-16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 kg con tramos 0.01–5 y 10–20 kg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Error: no hay tramo configurado para 7 kg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C8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1-2-4-6-8-10-11-13-14-16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Infactible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No ejecutable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b/>
          <w:bCs/>
        </w:rPr>
        <w:t xml:space="preserve">Camino C7.</w:t>
      </w:r>
      <w:r>
        <w:t xml:space="preserve"> Con las reglas reales, todo peso entre 0.01 y 20.00 kg pertenece a un tramo, así que el nodo 14 solo es alcanzable con una configuración con huecos. La prueba inyecta reglas con tramos 0.01–5.00 y 10.00–20.00 kg y un peso de 7 kg, que recorre ambos tramos sin coincidencia y sale del bucle por la rama falsa de D5.</w:t>
      </w:r>
    </w:p>
    <w:p>
      <w:pPr>
        <w:spacing w:after="140" w:line="276"/>
        <w:jc w:val="both"/>
      </w:pPr>
      <w:r>
        <w:rPr>
          <w:b/>
          <w:bCs/>
        </w:rPr>
        <w:t xml:space="preserve">Camino C8 (infactible).</w:t>
      </w:r>
      <w:r>
        <w:t xml:space="preserve"> Exige encontrar un tramo en el nodo 11 (rama verdadera) y aun así entrar en el nodo 14. Las decisiones D6 y D7 están correlacionadas: si el nodo 11 es verdadero, </w:t>
      </w:r>
      <w:r>
        <w:rPr>
          <w:rFonts w:ascii="Courier New" w:cs="Courier New" w:eastAsia="Courier New" w:hAnsi="Courier New"/>
          <w:sz w:val="20"/>
          <w:szCs w:val="20"/>
        </w:rPr>
        <w:t xml:space="preserve">find</w:t>
      </w:r>
      <w:r>
        <w:t xml:space="preserve"> devuelve el tramo y D7 siempre es falso. Tampoco es posible salir del bucle en la primera evaluación de D5, porque sin tramos el mínimo no está definido y la ejecución termina antes, en el nodo 6.</w:t>
      </w:r>
    </w:p>
    <w:p>
      <w:pPr>
        <w:spacing w:after="140" w:line="276"/>
        <w:jc w:val="both"/>
      </w:pPr>
      <w:r>
        <w:t xml:space="preserve">Los </w:t>
      </w:r>
      <w:r>
        <w:rPr>
          <w:b/>
          <w:bCs/>
        </w:rPr>
        <w:t xml:space="preserve">7 caminos factibles</w:t>
      </w:r>
      <w:r>
        <w:t xml:space="preserve"> recorren las 22 aristas del grafo (100 % de cobertura de ramas) y llevan cada uno de los 7 nodos predicado a sus dos resultados. Se automatizaron en </w:t>
      </w:r>
      <w:r>
        <w:rPr>
          <w:rFonts w:ascii="Courier New" w:cs="Courier New" w:eastAsia="Courier New" w:hAnsi="Courier New"/>
          <w:sz w:val="20"/>
          <w:szCs w:val="20"/>
        </w:rPr>
        <w:t xml:space="preserve">backend/tests/white-box/calculate-shipping-cost.paths.test.ts</w:t>
      </w:r>
      <w:r>
        <w:t xml:space="preserve">, con 8 pruebas (C1 se prueba con NaN y con Infinity). Todas resultaron aprobadas.</w:t>
      </w:r>
    </w:p>
    <w:p>
      <w:pPr>
        <w:pStyle w:val="Heading2"/>
        <w:keepNext/>
      </w:pPr>
      <w:r>
        <w:t xml:space="preserve">2.5 Cobertura de condiciones del nodo 11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18. Valores de las condiciones de minKg ≤ peso &amp;&amp; peso ≤ maxKg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2900"/>
        <w:gridCol w:w="2900"/>
        <w:gridCol w:w="2460"/>
      </w:tblGrid>
      <w:tr>
        <w:trPr>
          <w:cantSplit/>
          <w:tblHeader/>
        </w:trPr>
        <w:tc>
          <w:tcPr>
            <w:tcW w:type="dxa" w:w="11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Camino</w:t>
            </w:r>
          </w:p>
        </w:tc>
        <w:tc>
          <w:tcPr>
            <w:tcW w:type="dxa" w:w="2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Iteración 1 (tramo 0.01–5.00 kg)</w:t>
            </w:r>
          </w:p>
        </w:tc>
        <w:tc>
          <w:tcPr>
            <w:tcW w:type="dxa" w:w="29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Iteración 2 (segundo tramo)</w:t>
            </w:r>
          </w:p>
        </w:tc>
        <w:tc>
          <w:tcPr>
            <w:tcW w:type="dxa" w:w="24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 &amp;&amp; V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Tramo 1 encontrado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 &amp;&amp; F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 &amp;&amp; V (5.01–20.00 kg)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Tramo 2 encontrado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 &amp;&amp; F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 (cortocircuito, 10–20 kg)</w:t>
            </w:r>
          </w:p>
        </w:tc>
        <w:tc>
          <w:tcPr>
            <w:tcW w:type="dxa" w:w="24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Ningún tramo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Cada condición simple toma los valores verdadero y falso, con lo que se alcanza la cobertura de condiciones del predicado compuesto.</w:t>
      </w:r>
    </w:p>
    <w:p>
      <w:r>
        <w:br w:type="page"/>
      </w:r>
    </w:p>
    <w:p>
      <w:pPr>
        <w:pStyle w:val="Heading1"/>
      </w:pPr>
      <w:r>
        <w:t xml:space="preserve">3. Reporte de Cobertura (Code Coverage)</w:t>
      </w:r>
    </w:p>
    <w:p>
      <w:pPr>
        <w:pStyle w:val="Heading2"/>
        <w:keepNext/>
      </w:pPr>
      <w:r>
        <w:t xml:space="preserve">3.1 Configuración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Herramienta: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@vitest/coverage-v8</w:t>
      </w:r>
      <w:r>
        <w:t xml:space="preserve"> 5.0.5, que usa la instrumentación nativa del motor V8.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Alcance del backend:</w:t>
      </w:r>
      <w:r>
        <w:t xml:space="preserve"> todo el código fuente (</w:t>
      </w:r>
      <w:r>
        <w:rPr>
          <w:rFonts w:ascii="Courier New" w:cs="Courier New" w:eastAsia="Courier New" w:hAnsi="Courier New"/>
          <w:sz w:val="20"/>
          <w:szCs w:val="20"/>
        </w:rPr>
        <w:t xml:space="preserve">src/**/*.ts</w:t>
      </w:r>
      <w:r>
        <w:t xml:space="preserve">) salvo </w:t>
      </w:r>
      <w:r>
        <w:rPr>
          <w:rFonts w:ascii="Courier New" w:cs="Courier New" w:eastAsia="Courier New" w:hAnsi="Courier New"/>
          <w:sz w:val="20"/>
          <w:szCs w:val="20"/>
        </w:rPr>
        <w:t xml:space="preserve">src/server.ts</w:t>
      </w:r>
      <w:r>
        <w:t xml:space="preserve">, el punto de entrada que solo compone dependencias y abre el puerto. Los archivos que solo declaran tipos (</w:t>
      </w:r>
      <w:r>
        <w:rPr>
          <w:rFonts w:ascii="Courier New" w:cs="Courier New" w:eastAsia="Courier New" w:hAnsi="Courier New"/>
          <w:sz w:val="20"/>
          <w:szCs w:val="20"/>
        </w:rPr>
        <w:t xml:space="preserve">order.ts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order-repository.ts</w:t>
      </w:r>
      <w:r>
        <w:t xml:space="preserve">) no tienen código ejecutable y no se informan.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Alcance del frontend:</w:t>
      </w:r>
      <w:r>
        <w:t xml:space="preserve"> todo el código fuente (</w:t>
      </w:r>
      <w:r>
        <w:rPr>
          <w:rFonts w:ascii="Courier New" w:cs="Courier New" w:eastAsia="Courier New" w:hAnsi="Courier New"/>
          <w:sz w:val="20"/>
          <w:szCs w:val="20"/>
        </w:rPr>
        <w:t xml:space="preserve">src/**/*.{ts,tsx}</w:t>
      </w:r>
      <w:r>
        <w:t xml:space="preserve">) salvo </w:t>
      </w:r>
      <w:r>
        <w:rPr>
          <w:rFonts w:ascii="Courier New" w:cs="Courier New" w:eastAsia="Courier New" w:hAnsi="Courier New"/>
          <w:sz w:val="20"/>
          <w:szCs w:val="20"/>
        </w:rPr>
        <w:t xml:space="preserve">src/main.tsx</w:t>
      </w:r>
      <w:r>
        <w:t xml:space="preserve"> (arranque), </w:t>
      </w:r>
      <w:r>
        <w:rPr>
          <w:rFonts w:ascii="Courier New" w:cs="Courier New" w:eastAsia="Courier New" w:hAnsi="Courier New"/>
          <w:sz w:val="20"/>
          <w:szCs w:val="20"/>
        </w:rPr>
        <w:t xml:space="preserve">src/vite-env.d.ts</w:t>
      </w:r>
      <w:r>
        <w:t xml:space="preserve"> (tipos), las utilidades de prueba (</w:t>
      </w:r>
      <w:r>
        <w:rPr>
          <w:rFonts w:ascii="Courier New" w:cs="Courier New" w:eastAsia="Courier New" w:hAnsi="Courier New"/>
          <w:sz w:val="20"/>
          <w:szCs w:val="20"/>
        </w:rPr>
        <w:t xml:space="preserve">src/test/</w:t>
      </w:r>
      <w:r>
        <w:t xml:space="preserve">) y los propios archivos de prueba.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Umbral obligatorio:</w:t>
      </w:r>
      <w:r>
        <w:t xml:space="preserve"> 85 % de líneas, ramas, funciones y sentencias en ambos proyectos (</w:t>
      </w:r>
      <w:r>
        <w:rPr>
          <w:rFonts w:ascii="Courier New" w:cs="Courier New" w:eastAsia="Courier New" w:hAnsi="Courier New"/>
          <w:sz w:val="20"/>
          <w:szCs w:val="20"/>
        </w:rPr>
        <w:t xml:space="preserve">backend/vitest.config.ts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frontend/vite.config.ts</w:t>
      </w:r>
      <w:r>
        <w:t xml:space="preserve">). Si no se alcanza, la ejecución falla.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Ejecución: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npm run coverage</w:t>
      </w:r>
      <w:r>
        <w:t xml:space="preserve"> para ambos proyectos, o </w:t>
      </w:r>
      <w:r>
        <w:rPr>
          <w:rFonts w:ascii="Courier New" w:cs="Courier New" w:eastAsia="Courier New" w:hAnsi="Courier New"/>
          <w:sz w:val="20"/>
          <w:szCs w:val="20"/>
        </w:rPr>
        <w:t xml:space="preserve">npm run test:coverage -w backend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-w frontend</w:t>
      </w:r>
      <w:r>
        <w:t xml:space="preserve"> por separado. El informe HTML navegable se genera en </w:t>
      </w:r>
      <w:r>
        <w:rPr>
          <w:rFonts w:ascii="Courier New" w:cs="Courier New" w:eastAsia="Courier New" w:hAnsi="Courier New"/>
          <w:sz w:val="20"/>
          <w:szCs w:val="20"/>
        </w:rPr>
        <w:t xml:space="preserve">backend/coverage/index.html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frontend/coverage/index.html</w:t>
      </w:r>
      <w:r>
        <w:t xml:space="preserve">.</w:t>
      </w:r>
    </w:p>
    <w:p>
      <w:pPr>
        <w:pStyle w:val="Heading2"/>
        <w:keepNext/>
      </w:pPr>
      <w:r>
        <w:t xml:space="preserve">3.2 Capturas de la cobertura alcanzada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5581650"/>
            <wp:effectExtent t="0" r="0" b="0" l="0"/>
            <wp:docPr id="2" name="coverage-backend.png" descr="coverage-backend.png" title="coverage-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19"/>
          <w:szCs w:val="19"/>
        </w:rPr>
        <w:t xml:space="preserve">Figura 2. Salida de npm run test:coverage -w backend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4343400"/>
            <wp:effectExtent t="0" r="0" b="0" l="0"/>
            <wp:docPr id="3" name="coverage-frontend.png" descr="coverage-frontend.png" title="coverage-front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19"/>
          <w:szCs w:val="19"/>
        </w:rPr>
        <w:t xml:space="preserve">Figura 3. Salida de npm run test:coverage -w frontend (filas por carpeta; el detalle por capa está en la Tabla 21)</w:t>
      </w:r>
    </w:p>
    <w:p>
      <w:pPr>
        <w:pStyle w:val="Heading2"/>
        <w:keepNext/>
      </w:pPr>
      <w:r>
        <w:t xml:space="preserve">3.3 Resultados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19. Cobertura global frente al mínimo requerido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480"/>
        <w:gridCol w:w="2480"/>
        <w:gridCol w:w="1300"/>
        <w:gridCol w:w="1400"/>
      </w:tblGrid>
      <w:tr>
        <w:trPr>
          <w:cantSplit/>
          <w:tblHeader/>
        </w:trPr>
        <w:tc>
          <w:tcPr>
            <w:tcW w:type="dxa" w:w="17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248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48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13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Mínimo</w:t>
            </w:r>
          </w:p>
        </w:tc>
        <w:tc>
          <w:tcPr>
            <w:tcW w:type="dxa" w:w="14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Líneas</w:t>
            </w:r>
          </w:p>
        </w:tc>
        <w:tc>
          <w:tcPr>
            <w:tcW w:type="dxa" w:w="2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 (127/127)</w:t>
            </w:r>
          </w:p>
        </w:tc>
        <w:tc>
          <w:tcPr>
            <w:tcW w:type="dxa" w:w="2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99.51 % (408/410)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Ramas</w:t>
            </w:r>
          </w:p>
        </w:tc>
        <w:tc>
          <w:tcPr>
            <w:tcW w:type="dxa" w:w="2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 (49/49)</w:t>
            </w:r>
          </w:p>
        </w:tc>
        <w:tc>
          <w:tcPr>
            <w:tcW w:type="dxa" w:w="2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97.18 % (345/355)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Funciones</w:t>
            </w:r>
          </w:p>
        </w:tc>
        <w:tc>
          <w:tcPr>
            <w:tcW w:type="dxa" w:w="2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 (44/44)</w:t>
            </w:r>
          </w:p>
        </w:tc>
        <w:tc>
          <w:tcPr>
            <w:tcW w:type="dxa" w:w="2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99.44 % (178/179)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Sentencias</w:t>
            </w:r>
          </w:p>
        </w:tc>
        <w:tc>
          <w:tcPr>
            <w:tcW w:type="dxa" w:w="2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 (133/133)</w:t>
            </w:r>
          </w:p>
        </w:tc>
        <w:tc>
          <w:tcPr>
            <w:tcW w:type="dxa" w:w="2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99.55 % (443/445)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20. Cobertura por archivo del backend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cantSplit/>
          <w:tblHeader/>
        </w:trPr>
        <w:tc>
          <w:tcPr>
            <w:tcW w:type="dxa" w:w="39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135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Sentencias</w:t>
            </w:r>
          </w:p>
        </w:tc>
        <w:tc>
          <w:tcPr>
            <w:tcW w:type="dxa" w:w="135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Ramas</w:t>
            </w:r>
          </w:p>
        </w:tc>
        <w:tc>
          <w:tcPr>
            <w:tcW w:type="dxa" w:w="135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Funciones</w:t>
            </w:r>
          </w:p>
        </w:tc>
        <w:tc>
          <w:tcPr>
            <w:tcW w:type="dxa" w:w="135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src/config.ts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src/api/app.ts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src/api/error-handler.ts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src/api/presenters.ts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src/api/schemas.ts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src/api/routes/order-routes.ts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src/api/routes/pricing-routes.ts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src/application/errors.ts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src/application/shipping-service.ts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src/domain/errors.ts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src/domain/pricing/calculate-shipping-cost.ts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src/domain/pricing/pricing-rules.ts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src/domain/pricing/shipment.ts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src/infrastructure/in-memory-order-repository.ts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21. Cobertura del frontend por capa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36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3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Capa</w:t>
            </w:r>
          </w:p>
        </w:tc>
        <w:tc>
          <w:tcPr>
            <w:tcW w:type="dxa" w:w="20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Líneas</w:t>
            </w:r>
          </w:p>
        </w:tc>
        <w:tc>
          <w:tcPr>
            <w:tcW w:type="dxa" w:w="20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Ramas</w:t>
            </w:r>
          </w:p>
        </w:tc>
        <w:tc>
          <w:tcPr>
            <w:tcW w:type="dxa" w:w="20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Estructura de la app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app/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(16/16)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(6/6)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(9/9)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Tema, hooks y utilidades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core/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(91/91)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(36/36)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(39/39)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Modelos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models/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(7/7)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 (0/0)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(1/1)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Servicios HTTP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services/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(26/26)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(18/18)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(10/10)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Componentes Material 3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ui/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(59/59)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98.98 % (97/98)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(29/29)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ViewModels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viewmodels/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(125/125)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95.29 % (81/85)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(47/47)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Componentes de vista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views/components/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98.18 % (54/55)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95 % (76/80)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96.88 % (31/32)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Páginas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views/pages/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96.77 % (30/31)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96.88 % (31/32)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100 % (12/12)</w:t>
            </w:r>
          </w:p>
        </w:tc>
      </w:tr>
    </w:tbl>
    <w:p>
      <w:pPr>
        <w:pStyle w:val="Heading2"/>
        <w:keepNext/>
      </w:pPr>
      <w:r>
        <w:t xml:space="preserve">3.4 Análisis</w:t>
      </w:r>
    </w:p>
    <w:p>
      <w:pPr>
        <w:spacing w:after="140" w:line="276"/>
        <w:jc w:val="both"/>
      </w:pPr>
      <w:r>
        <w:rPr>
          <w:b/>
          <w:bCs/>
        </w:rPr>
        <w:t xml:space="preserve">Cumplimiento.</w:t>
      </w:r>
      <w:r>
        <w:t xml:space="preserve"> El backend alcanza 100 % de líneas y 100 % de ramas; el frontend, 99.51 % y 97.18 %. Ambos superan el mínimo de 85 %. El módulo del cálculo de la tarifa (</w:t>
      </w:r>
      <w:r>
        <w:rPr>
          <w:rFonts w:ascii="Courier New" w:cs="Courier New" w:eastAsia="Courier New" w:hAnsi="Courier New"/>
          <w:sz w:val="20"/>
          <w:szCs w:val="20"/>
        </w:rPr>
        <w:t xml:space="preserve">calculate-shipping-cost.ts</w:t>
      </w:r>
      <w:r>
        <w:t xml:space="preserve">) tiene 100 % de líneas y ramas, lo que concuerda con el análisis de caminos: los 7 caminos factibles recorren todas las aristas del CFG.</w:t>
      </w:r>
    </w:p>
    <w:p>
      <w:pPr>
        <w:spacing w:after="140" w:line="276"/>
        <w:jc w:val="both"/>
      </w:pPr>
      <w:r>
        <w:rPr>
          <w:b/>
          <w:bCs/>
        </w:rPr>
        <w:t xml:space="preserve">Evolución del backend.</w:t>
      </w:r>
      <w:r>
        <w:t xml:space="preserve"> La primera medición, con las pruebas de caja negra y caja blanca ya incorporadas, dio 96.06 % de líneas pero 81.63 % de ramas (40 de 49), por debajo del umbral. Las ramas sin cubrir estaban fuera del cálculo de la tarifa: la lectura de configuración (</w:t>
      </w:r>
      <w:r>
        <w:rPr>
          <w:rFonts w:ascii="Courier New" w:cs="Courier New" w:eastAsia="Courier New" w:hAnsi="Courier New"/>
          <w:sz w:val="20"/>
          <w:szCs w:val="20"/>
        </w:rPr>
        <w:t xml:space="preserve">config.ts</w:t>
      </w:r>
      <w:r>
        <w:t xml:space="preserve">), la respuesta 500 y los errores 4xx propios de Express (</w:t>
      </w:r>
      <w:r>
        <w:rPr>
          <w:rFonts w:ascii="Courier New" w:cs="Courier New" w:eastAsia="Courier New" w:hAnsi="Courier New"/>
          <w:sz w:val="20"/>
          <w:szCs w:val="20"/>
        </w:rPr>
        <w:t xml:space="preserve">error-handler.ts</w:t>
      </w:r>
      <w:r>
        <w:t xml:space="preserve">) y las dependencias por defecto de </w:t>
      </w:r>
      <w:r>
        <w:rPr>
          <w:rFonts w:ascii="Courier New" w:cs="Courier New" w:eastAsia="Courier New" w:hAnsi="Courier New"/>
          <w:sz w:val="20"/>
          <w:szCs w:val="20"/>
        </w:rPr>
        <w:t xml:space="preserve">ShippingService</w:t>
      </w:r>
      <w:r>
        <w:t xml:space="preserve">. Se añadieron 8 pruebas y el backend llegó al 100 % en las cuatro métricas.</w:t>
      </w:r>
    </w:p>
    <w:p>
      <w:pPr>
        <w:spacing w:after="140" w:line="276"/>
        <w:jc w:val="both"/>
      </w:pPr>
      <w:r>
        <w:rPr>
          <w:b/>
          <w:bCs/>
        </w:rPr>
        <w:t xml:space="preserve">Evolución del frontend.</w:t>
      </w:r>
      <w:r>
        <w:t xml:space="preserve"> La primera medición dio 60.24 % de líneas y 57.74 % de ramas con 38 pruebas: los ViewModels estaban cubiertos, pero las páginas, la navegación, el tema, los servicios HTTP y los avisos no tenían pruebas. Se añadieron 73 pruebas, hasta 111: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Cliente HTTP y servicios, con </w:t>
      </w:r>
      <w:r>
        <w:rPr>
          <w:rFonts w:ascii="Courier New" w:cs="Courier New" w:eastAsia="Courier New" w:hAnsi="Courier New"/>
          <w:sz w:val="20"/>
          <w:szCs w:val="20"/>
        </w:rPr>
        <w:t xml:space="preserve">fetch</w:t>
      </w:r>
      <w:r>
        <w:t xml:space="preserve"> simulado: respuestas correctas, errores de la API, fallo de red y cancelación.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Tema dinámico: preferencias guardadas o corruptas, almacenamiento no disponible y modo oscuro del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Hooks de desplazamiento, visibilidad y consultas de medios, incluido el renderizado en servidor.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Integración de la aplicación: enrutado, navegación principal, página no encontrada y menú de 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Páginas de órdenes (listado, búsqueda, detalle, estados vacío, de error y de reintento) y flujo completo de creación de una orden desde el cotizador.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Errores inesperados y peticiones canceladas en los ViewModels.</w:t>
      </w:r>
    </w:p>
    <w:p>
      <w:pPr>
        <w:spacing w:after="140" w:line="276"/>
        <w:jc w:val="both"/>
      </w:pPr>
      <w:r>
        <w:rPr>
          <w:b/>
          <w:bCs/>
        </w:rPr>
        <w:t xml:space="preserve">Pendiente sin cubrir (frontend).</w:t>
      </w:r>
      <w:r>
        <w:t xml:space="preserve"> Quedan 2 líneas y 10 ramas, en su mayoría guardas defensivas que la interfaz no puede alcanzar: </w:t>
      </w:r>
      <w:r>
        <w:rPr>
          <w:rFonts w:ascii="Courier New" w:cs="Courier New" w:eastAsia="Courier New" w:hAnsi="Courier New"/>
          <w:sz w:val="20"/>
          <w:szCs w:val="20"/>
        </w:rPr>
        <w:t xml:space="preserve">QuotePage</w:t>
      </w:r>
      <w:r>
        <w:t xml:space="preserve"> comprueba que exista una cotización antes de crear la orden, pero el panel solo se muestra cuando la hay; </w:t>
      </w:r>
      <w:r>
        <w:rPr>
          <w:rFonts w:ascii="Courier New" w:cs="Courier New" w:eastAsia="Courier New" w:hAnsi="Courier New"/>
          <w:sz w:val="20"/>
          <w:szCs w:val="20"/>
        </w:rPr>
        <w:t xml:space="preserve">SegmentedButton</w:t>
      </w:r>
      <w:r>
        <w:t xml:space="preserve"> comprueba que exista la opción siguiente, que siempre existe; y </w:t>
      </w:r>
      <w:r>
        <w:rPr>
          <w:rFonts w:ascii="Courier New" w:cs="Courier New" w:eastAsia="Courier New" w:hAnsi="Courier New"/>
          <w:sz w:val="20"/>
          <w:szCs w:val="20"/>
        </w:rPr>
        <w:t xml:space="preserve">useQuoteViewModel</w:t>
      </w:r>
      <w:r>
        <w:t xml:space="preserve"> descarta las respuestas de peticiones ya canceladas y tiene un mensaje de reserva para un error 400 que llegue sin detalles. El resto son estilos condicionales de </w:t>
      </w:r>
      <w:r>
        <w:rPr>
          <w:rFonts w:ascii="Courier New" w:cs="Courier New" w:eastAsia="Courier New" w:hAnsi="Courier New"/>
          <w:sz w:val="20"/>
          <w:szCs w:val="20"/>
        </w:rPr>
        <w:t xml:space="preserve">QuoteSummary</w:t>
      </w:r>
      <w:r>
        <w:t xml:space="preserve"> y el envío del formulario con la tecla Intro en </w:t>
      </w:r>
      <w:r>
        <w:rPr>
          <w:rFonts w:ascii="Courier New" w:cs="Courier New" w:eastAsia="Courier New" w:hAnsi="Courier New"/>
          <w:sz w:val="20"/>
          <w:szCs w:val="20"/>
        </w:rPr>
        <w:t xml:space="preserve">ShipmentForm</w:t>
      </w:r>
      <w:r>
        <w:t xml:space="preserve">.</w:t>
      </w:r>
    </w:p>
    <w:p>
      <w:pPr>
        <w:spacing w:after="140" w:line="276"/>
        <w:jc w:val="both"/>
      </w:pPr>
      <w:r>
        <w:rPr>
          <w:b/>
          <w:bCs/>
        </w:rPr>
        <w:t xml:space="preserve">Limitaciones.</w:t>
      </w:r>
      <w:r>
        <w:t xml:space="preserve"> La cobertura indica qué código se ejecutó durante las pruebas, no que esté libre de defectos. En particular, no valida las interpretaciones de negocio (tramo completo, descuento y recargo sobre el mismo subtotal, redondeo); esas decisiones se verifican con las pruebas de caja negra y deben confirmarse con el área de negocio. Las pruebas del frontend simulan el backend; la integración real entre ambos se verificó manualmente en el navegador, en escritorio y en móvil. El camino C8 es infactible y no puede cubrirse.</w:t>
      </w:r>
    </w:p>
    <w:p>
      <w:r>
        <w:br w:type="page"/>
      </w:r>
    </w:p>
    <w:p>
      <w:pPr>
        <w:pStyle w:val="Heading1"/>
      </w:pPr>
      <w:r>
        <w:t xml:space="preserve">Conclusiones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Tabla 22. Estado de los entregables de calidad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4960"/>
        <w:gridCol w:w="1400"/>
      </w:tblGrid>
      <w:tr>
        <w:trPr>
          <w:cantSplit/>
          <w:tblHeader/>
        </w:trPr>
        <w:tc>
          <w:tcPr>
            <w:tcW w:type="dxa" w:w="30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496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type="dxa" w:w="1400"/>
            <w:tcBorders>
              <w:bottom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Matriz de casos de caja negra (EP, BVA, tablas de decisión)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Secciones 1.2 a 1.8: 52 casos de diseño; 44 pruebas de API y 15 de interfaz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CFG del algoritmo de cálculo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Sección 2.2, Figura 1: 16 nodos y 22 aristas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Complejidad ciclomática paso a paso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Sección 2.3: V(G) = 8 por los tres métodos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Caminos independientes identificados y probados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Sección 2.4: 7 caminos factibles probados; 1 infactible justificado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automatizadas (unitarias y de API)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97 pruebas en el backend y 111 en el frontend, sin fallos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Cobertura mínima de 85 % en líneas y ramas</w:t>
            </w:r>
          </w:p>
        </w:tc>
        <w:tc>
          <w:tcPr>
            <w:tcW w:type="dxa" w:w="4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Backend: 100 % de líneas y 100 % de ramas. Frontend: 99.51 % y 97.18 %. Umbral obligatorio en ambos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Cumplido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Las reglas BR-01 a BR-04 se verificaron desde la especificación (caja negra) y desde la estructura del código (caja blanca), con resultados consistentes. Como mejoras se recomienda confirmar con negocio las interpretaciones descritas en la introducción y añadir pruebas de extremo a extremo que ejecuten el frontend contra el backend real.</w:t>
      </w:r>
    </w:p>
    <w:p>
      <w:pPr>
        <w:pStyle w:val="Heading2"/>
        <w:keepNext/>
      </w:pPr>
      <w:r>
        <w:t xml:space="preserve">Anexo: cómo reproducir los resultados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npm install                       # dependencias de backend y frontend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npm test                          # todas las pruebas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npm run coverage                  # cobertura de ambos proyectos (umbral de 85 %)</w:t>
      </w:r>
    </w:p>
    <w:p>
      <w:pPr>
        <w:keepNext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npm run test:coverage -w backend  # solo backend</w:t>
      </w:r>
    </w:p>
    <w:p>
      <w:pPr>
        <w:keepNext w:val="false"/>
        <w:pBdr>
          <w:top w:val="single" w:color="000000" w:sz="4" w:space="6"/>
          <w:left w:val="single" w:color="000000" w:sz="4" w:space="6"/>
          <w:bottom w:val="single" w:color="000000" w:sz="4" w:space="6"/>
          <w:right w:val="single" w:color="000000" w:sz="4" w:space="6"/>
        </w:pBdr>
        <w:spacing w:after="0" w:line="240"/>
        <w:ind w:left="140" w:right="140"/>
      </w:pPr>
      <w:r>
        <w:rPr>
          <w:rFonts w:ascii="Courier New" w:cs="Courier New" w:eastAsia="Courier New" w:hAnsi="Courier New"/>
          <w:sz w:val="16"/>
          <w:szCs w:val="16"/>
        </w:rPr>
        <w:t xml:space="preserve">npm run test:coverage -w frontend # solo frontend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000000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240" w:before="0"/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3c485cc11ae7a10c8c0043f905b250424b511e1.png"/><Relationship Id="rId8" Type="http://schemas.openxmlformats.org/officeDocument/2006/relationships/image" Target="media/ecc2c6ba8c7d224d02780d76e7384e387f230bfe.png"/><Relationship Id="rId9" Type="http://schemas.openxmlformats.org/officeDocument/2006/relationships/image" Target="media/59d4a4707ae48234d89e6ddfe7fd3e49be4838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Calidad de Software — FastExpress</dc:title>
  <dc:creator>FastExpress</dc:creator>
  <dc:description>Informe técnico de pruebas: caja negra, caja blanca y cobertura de código</dc:description>
  <cp:lastModifiedBy>Un-named</cp:lastModifiedBy>
  <cp:revision>1</cp:revision>
  <dcterms:created xsi:type="dcterms:W3CDTF">2026-10-27T23:09:32.084Z</dcterms:created>
  <dcterms:modified xsi:type="dcterms:W3CDTF">2026-10-27T23:09:32.085Z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