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40"/>
        <w:jc w:val="center"/>
      </w:pPr>
      <w:r>
        <w:rPr>
          <w:b/>
          <w:bCs/>
          <w:sz w:val="52"/>
          <w:szCs w:val="52"/>
        </w:rPr>
        <w:t xml:space="preserve">Documento de Calidad de Software</w:t>
      </w:r>
    </w:p>
    <w:p>
      <w:pPr>
        <w:spacing w:after="720"/>
        <w:jc w:val="center"/>
      </w:pPr>
      <w:r>
        <w:rPr>
          <w:sz w:val="34"/>
          <w:szCs w:val="34"/>
        </w:rPr>
        <w:t xml:space="preserve">Informe Técnico de Pruebas</w:t>
      </w:r>
    </w:p>
    <w:p>
      <w:pPr>
        <w:spacing w:after="80"/>
        <w:jc w:val="center"/>
      </w:pPr>
      <w:r>
        <w:rPr>
          <w:b/>
          <w:bCs/>
          <w:sz w:val="30"/>
          <w:szCs w:val="30"/>
        </w:rPr>
        <w:t xml:space="preserve">FastExpress</w:t>
      </w:r>
    </w:p>
    <w:p>
      <w:pPr>
        <w:spacing w:after="1800"/>
        <w:jc w:val="center"/>
      </w:pPr>
      <w:r>
        <w:rPr>
          <w:sz w:val="24"/>
          <w:szCs w:val="24"/>
        </w:rPr>
        <w:t xml:space="preserve">Módulo de Cotización de Envíos y Descuentos</w:t>
      </w:r>
    </w:p>
    <w:p>
      <w:pPr>
        <w:spacing w:after="60"/>
        <w:jc w:val="center"/>
      </w:pPr>
      <w:r>
        <w:rPr>
          <w:b/>
          <w:bCs/>
        </w:rPr>
        <w:t xml:space="preserve">Versión: </w:t>
      </w:r>
      <w:r>
        <w:t xml:space="preserve">2.0</w:t>
      </w:r>
    </w:p>
    <w:p>
      <w:pPr>
        <w:spacing w:after="60"/>
        <w:jc w:val="center"/>
      </w:pPr>
      <w:r>
        <w:rPr>
          <w:b/>
          <w:bCs/>
        </w:rPr>
        <w:t xml:space="preserve">Fecha: </w:t>
      </w:r>
      <w:r>
        <w:t xml:space="preserve">28 de octubre de 2026</w:t>
      </w:r>
    </w:p>
    <w:p>
      <w:pPr>
        <w:spacing w:after="60"/>
        <w:jc w:val="center"/>
      </w:pPr>
      <w:r>
        <w:rPr>
          <w:b/>
          <w:bCs/>
        </w:rPr>
        <w:t xml:space="preserve">Línea base evaluada: </w:t>
      </w:r>
      <w:r>
        <w:t xml:space="preserve">rama main, commit 15c37b8</w:t>
      </w:r>
    </w:p>
    <w:p>
      <w:pPr>
        <w:spacing w:after="60"/>
        <w:jc w:val="center"/>
      </w:pPr>
      <w:r>
        <w:rPr>
          <w:b/>
          <w:bCs/>
        </w:rPr>
        <w:t xml:space="preserve">Marco de referencia: </w:t>
      </w:r>
      <w:r>
        <w:t xml:space="preserve">Marco Teórico y Matriz de Mapeo – FastExpress</w:t>
      </w:r>
    </w:p>
    <w:p>
      <w:pPr>
        <w:spacing w:after="60"/>
        <w:jc w:val="center"/>
      </w:pPr>
      <w:r>
        <w:rPr>
          <w:b/>
          <w:bCs/>
        </w:rPr>
        <w:t xml:space="preserve">Repositorio: </w:t>
      </w:r>
      <w:r>
        <w:t xml:space="preserve">github.com/NacheManu/FastExpress</w:t>
      </w:r>
    </w:p>
    <w:p>
      <w:r>
        <w:br w:type="page"/>
      </w:r>
    </w:p>
    <w:p>
      <w:pPr>
        <w:pStyle w:val="Heading1"/>
      </w:pPr>
      <w:r>
        <w:t xml:space="preserve">Introducción</w:t>
      </w:r>
    </w:p>
    <w:p>
      <w:pPr>
        <w:pStyle w:val="Heading2"/>
        <w:keepNext/>
      </w:pPr>
      <w:r>
        <w:t xml:space="preserve">Objetivo</w:t>
      </w:r>
    </w:p>
    <w:p>
      <w:pPr>
        <w:spacing w:after="140" w:line="276"/>
        <w:jc w:val="both"/>
      </w:pPr>
      <w:r>
        <w:t xml:space="preserve">Este informe documenta el diseño, la ejecución y los resultados de las pruebas de software de FastExpress. Su propósito es verificar que el cálculo de la tarifa de envío cumple las reglas de negocio BR-01 a BR-04 y dejar evidencia de la cobertura de código alcanzada por las pruebas automatizadas. Sigue el marco teórico del proyecto («Marco Teórico y Matriz de Mapeo – FastExpress»), basado en ISTQB (2023) e ISO/IEC/IEEE 29119-4 (2021).</w:t>
      </w:r>
    </w:p>
    <w:p>
      <w:pPr>
        <w:pStyle w:val="Heading2"/>
        <w:keepNext/>
      </w:pPr>
      <w:r>
        <w:t xml:space="preserve">Sistema bajo prueba</w:t>
      </w:r>
    </w:p>
    <w:p>
      <w:pPr>
        <w:spacing w:after="140" w:line="276"/>
        <w:jc w:val="both"/>
      </w:pPr>
      <w:r>
        <w:t xml:space="preserve">FastExpress está compuesto por un </w:t>
      </w:r>
      <w:r>
        <w:rPr>
          <w:b/>
          <w:bCs/>
        </w:rPr>
        <w:t xml:space="preserve">backend</w:t>
      </w:r>
      <w:r>
        <w:t xml:space="preserve"> (Node.js, Express 5 y TypeScript) que implementa las reglas de negocio y expone la API REST </w:t>
      </w:r>
      <w:r>
        <w:rPr>
          <w:rFonts w:ascii="Courier New" w:cs="Courier New" w:eastAsia="Courier New" w:hAnsi="Courier New"/>
          <w:sz w:val="20"/>
          <w:szCs w:val="20"/>
        </w:rPr>
        <w:t xml:space="preserve">/api/v1</w:t>
      </w:r>
      <w:r>
        <w:t xml:space="preserve">, y un </w:t>
      </w:r>
      <w:r>
        <w:rPr>
          <w:b/>
          <w:bCs/>
        </w:rPr>
        <w:t xml:space="preserve">frontend</w:t>
      </w:r>
      <w:r>
        <w:t xml:space="preserve"> (React 19, TypeScript y Tailwind CSS) con arquitectura MVVM que consume esa API. El cálculo de la tarifa reside en la función </w:t>
      </w:r>
      <w:r>
        <w:rPr>
          <w:rFonts w:ascii="Courier New" w:cs="Courier New" w:eastAsia="Courier New" w:hAnsi="Courier New"/>
          <w:sz w:val="20"/>
          <w:szCs w:val="20"/>
        </w:rPr>
        <w:t xml:space="preserve">calculateShippingCost</w:t>
      </w:r>
      <w:r>
        <w:t xml:space="preserve"> del dominio del backend.</w:t>
      </w:r>
    </w:p>
    <w:p>
      <w:pPr>
        <w:keepNext/>
        <w:spacing w:after="80" w:before="120"/>
      </w:pPr>
      <w:r>
        <w:rPr>
          <w:b/>
          <w:bCs/>
          <w:sz w:val="19"/>
          <w:szCs w:val="19"/>
        </w:rPr>
        <w:t xml:space="preserve">Tabla 1. Reglas de negocio verificadas</w:t>
      </w:r>
    </w:p>
    <w:tbl>
      <w:tblPr>
        <w:tblW w:type="dxa" w:w="936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200"/>
        <w:gridCol w:w="8160"/>
      </w:tblGrid>
      <w:tr>
        <w:trPr>
          <w:cantSplit/>
          <w:tblHeader/>
        </w:trPr>
        <w:tc>
          <w:tcPr>
            <w:tcW w:type="dxa" w:w="12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Regla</w:t>
            </w:r>
          </w:p>
        </w:tc>
        <w:tc>
          <w:tcPr>
            <w:tcW w:type="dxa" w:w="816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BR-01</w:t>
            </w:r>
          </w:p>
        </w:tc>
        <w:tc>
          <w:tcPr>
            <w:tcW w:type="dxa" w:w="81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Tarifa base: toda orden tiene un costo base de $5.00 USD.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BR-02</w:t>
            </w:r>
          </w:p>
        </w:tc>
        <w:tc>
          <w:tcPr>
            <w:tcW w:type="dxa" w:w="81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Cálculo por peso: de 0.01 a 5.00 kg, $2.00 por kg; de 5.01 a 20.00 kg, $4.00 por kg; más de 20.00 kg, se rechaza el envío (límite excedido).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BR-03</w:t>
            </w:r>
          </w:p>
        </w:tc>
        <w:tc>
          <w:tcPr>
            <w:tcW w:type="dxa" w:w="81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Descuento por tipo de cliente: NUEVO 0 %, FRECUENTE 10 %, VIP 20 %.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BR-04</w:t>
            </w:r>
          </w:p>
        </w:tc>
        <w:tc>
          <w:tcPr>
            <w:tcW w:type="dxa" w:w="81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Recargo por tipo de envío: ESTANDAR 0 %, EXPRESS +25 % sobre la tarifa subtotal.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Supuestos de trabajo</w:t>
      </w:r>
    </w:p>
    <w:p>
      <w:pPr>
        <w:spacing w:after="140" w:line="276"/>
        <w:jc w:val="both"/>
      </w:pPr>
      <w:r>
        <w:t xml:space="preserve">Las reglas dejan cuatro puntos abiertos. El marco teórico fija un supuesto para cada uno, pendiente de confirmar con el docente, y la implementación y las pruebas los siguen:</w:t>
      </w:r>
    </w:p>
    <w:p>
      <w:pPr>
        <w:keepNext/>
        <w:spacing w:after="80" w:before="120"/>
      </w:pPr>
      <w:r>
        <w:rPr>
          <w:b/>
          <w:bCs/>
          <w:sz w:val="19"/>
          <w:szCs w:val="19"/>
        </w:rPr>
        <w:t xml:space="preserve">Tabla 2. Supuestos del marco teórico y decisión aplicada</w:t>
      </w:r>
    </w:p>
    <w:tbl>
      <w:tblPr>
        <w:tblW w:type="dxa" w:w="936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700"/>
        <w:gridCol w:w="6660"/>
      </w:tblGrid>
      <w:tr>
        <w:trPr>
          <w:cantSplit/>
          <w:tblHeader/>
        </w:trPr>
        <w:tc>
          <w:tcPr>
            <w:tcW w:type="dxa" w:w="27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Supuesto</w:t>
            </w:r>
          </w:p>
        </w:tc>
        <w:tc>
          <w:tcPr>
            <w:tcW w:type="dxa" w:w="666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Decisión aplicada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Cálculo por peso (BR-02)</w:t>
            </w:r>
          </w:p>
        </w:tc>
        <w:tc>
          <w:tcPr>
            <w:tcW w:type="dxa" w:w="66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Tarifa plana por tramo: peso × tarifa del tramo que corresponde al peso total (10 kg = 10 × $4.00).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Orden de cálculo</w:t>
            </w:r>
          </w:p>
        </w:tc>
        <w:tc>
          <w:tcPr>
            <w:tcW w:type="dxa" w:w="66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Subtotal = $5.00 + costo por peso; luego el descuento de BR-03 y después el recargo de BR-04, en cadena: total = subtotal × (1 − descuento) × (1 + recargo).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Rechazo por peso &gt; 20.00 kg</w:t>
            </w:r>
          </w:p>
        </w:tc>
        <w:tc>
          <w:tcPr>
            <w:tcW w:type="dxa" w:w="66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Respuesta HTTP 422 con un cuerpo que indica el campo y el motivo.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Campo Monto</w:t>
            </w:r>
          </w:p>
        </w:tc>
        <w:tc>
          <w:tcPr>
            <w:tcW w:type="dxa" w:w="66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 define como el importe que calcula la tarifa (cargo por peso, subtotal, descuento, recargo y total); sus clases y límites se precisan en las secciones 1.4 y 1.5.</w:t>
            </w:r>
          </w:p>
        </w:tc>
      </w:tr>
    </w:tbl>
    <w:p>
      <w:pPr>
        <w:spacing w:after="120"/>
      </w:pPr>
    </w:p>
    <w:p>
      <w:pPr>
        <w:spacing w:after="140" w:line="276"/>
        <w:jc w:val="both"/>
      </w:pPr>
      <w:r>
        <w:t xml:space="preserve">Además, la implementación precisa dos detalles que el marco no fija: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Precisión del peso:</w:t>
      </w:r>
      <w:r>
        <w:t xml:space="preserve"> como máximo 2 decimales, porque los tramos se definen al centésimo (5.00 / 5.01). El mínimo es 0.01 kg.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Redondeo:</w:t>
      </w:r>
      <w:r>
        <w:t xml:space="preserve"> el cálculo se hace en centavos y cada porcentaje se redondea al centavo más cercano (0.5 hacia arriba).</w:t>
      </w:r>
    </w:p>
    <w:p>
      <w:pPr>
        <w:pStyle w:val="Heading2"/>
        <w:keepNext/>
      </w:pPr>
      <w:r>
        <w:t xml:space="preserve">Política de códigos HTTP</w:t>
      </w:r>
    </w:p>
    <w:p>
      <w:pPr>
        <w:spacing w:after="140" w:line="276"/>
        <w:jc w:val="both"/>
      </w:pPr>
      <w:r>
        <w:t xml:space="preserve">Siguiendo el marco teórico (Fielding, 2000; RFC 9110), 400 se reserva para peticiones mal formadas y 422 para peticiones bien formadas cuyo contenido incumple una regla de negocio:</w:t>
      </w:r>
    </w:p>
    <w:p>
      <w:pPr>
        <w:keepNext/>
        <w:spacing w:after="80" w:before="120"/>
      </w:pPr>
      <w:r>
        <w:rPr>
          <w:b/>
          <w:bCs/>
          <w:sz w:val="19"/>
          <w:szCs w:val="19"/>
        </w:rPr>
        <w:t xml:space="preserve">Tabla 3. Códigos de estado de la API</w:t>
      </w:r>
    </w:p>
    <w:tbl>
      <w:tblPr>
        <w:tblW w:type="dxa" w:w="936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300"/>
        <w:gridCol w:w="2600"/>
        <w:gridCol w:w="4460"/>
      </w:tblGrid>
      <w:tr>
        <w:trPr>
          <w:cantSplit/>
          <w:tblHeader/>
        </w:trPr>
        <w:tc>
          <w:tcPr>
            <w:tcW w:type="dxa" w:w="23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Código</w:t>
            </w:r>
          </w:p>
        </w:tc>
        <w:tc>
          <w:tcPr>
            <w:tcW w:type="dxa" w:w="26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Significado</w:t>
            </w:r>
          </w:p>
        </w:tc>
        <w:tc>
          <w:tcPr>
            <w:tcW w:type="dxa" w:w="446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Uso en FastExpress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200 OK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Petición procesada</w:t>
            </w:r>
          </w:p>
        </w:tc>
        <w:tc>
          <w:tcPr>
            <w:tcW w:type="dxa" w:w="44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Cotización calculada; listado y detalle de órdenes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201 Created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Recurso creado</w:t>
            </w:r>
          </w:p>
        </w:tc>
        <w:tc>
          <w:tcPr>
            <w:tcW w:type="dxa" w:w="44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Orden creada (con cabecera Location)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400 Bad Request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Petición mal formada</w:t>
            </w:r>
          </w:p>
        </w:tc>
        <w:tc>
          <w:tcPr>
            <w:tcW w:type="dxa" w:w="44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JSON inválido; campo ausente; peso, tipo de cliente o tipo de envío con un tipo de dato incorrecto (p. ej. peso "abc" o nulo)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422 Unprocessable Entity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Sintaxis correcta, contenido que viola reglas</w:t>
            </w:r>
          </w:p>
        </w:tc>
        <w:tc>
          <w:tcPr>
            <w:tcW w:type="dxa" w:w="44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Peso ≤ 0, &gt; 20.00 kg o con más de 2 decimales; tipo de cliente o de envío desconocido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404 Not Found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Recurso inexistente</w:t>
            </w:r>
          </w:p>
        </w:tc>
        <w:tc>
          <w:tcPr>
            <w:tcW w:type="dxa" w:w="44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Orden o ruta que no existe</w:t>
            </w:r>
          </w:p>
        </w:tc>
      </w:tr>
    </w:tbl>
    <w:p>
      <w:pPr>
        <w:spacing w:after="120"/>
      </w:pPr>
    </w:p>
    <w:p>
      <w:pPr>
        <w:keepNext/>
        <w:spacing w:after="140" w:line="276"/>
        <w:jc w:val="both"/>
      </w:pPr>
      <w:r>
        <w:t xml:space="preserve">Toda respuesta 422 indica el campo y el motivo en </w:t>
      </w:r>
      <w:r>
        <w:rPr>
          <w:rFonts w:ascii="Courier New" w:cs="Courier New" w:eastAsia="Courier New" w:hAnsi="Courier New"/>
          <w:sz w:val="20"/>
          <w:szCs w:val="20"/>
        </w:rPr>
        <w:t xml:space="preserve">details</w:t>
      </w:r>
      <w:r>
        <w:t xml:space="preserve">, como propone el marco teórico:</w:t>
      </w:r>
    </w:p>
    <w:p>
      <w:pPr>
        <w:keepNext/>
        <w:pBdr>
          <w:top w:val="single" w:color="000000" w:sz="4" w:space="6"/>
          <w:left w:val="single" w:color="000000" w:sz="4" w:space="6"/>
          <w:bottom w:val="single" w:color="000000" w:sz="4" w:space="6"/>
          <w:right w:val="single" w:color="000000" w:sz="4" w:space="6"/>
        </w:pBdr>
        <w:spacing w:after="0" w:line="240"/>
        <w:ind w:left="140" w:right="140"/>
      </w:pPr>
      <w:r>
        <w:rPr>
          <w:rFonts w:ascii="Courier New" w:cs="Courier New" w:eastAsia="Courier New" w:hAnsi="Courier New"/>
          <w:sz w:val="16"/>
          <w:szCs w:val="16"/>
        </w:rPr>
        <w:t xml:space="preserve">{</w:t>
      </w:r>
    </w:p>
    <w:p>
      <w:pPr>
        <w:keepNext/>
        <w:pBdr>
          <w:top w:val="single" w:color="000000" w:sz="4" w:space="6"/>
          <w:left w:val="single" w:color="000000" w:sz="4" w:space="6"/>
          <w:bottom w:val="single" w:color="000000" w:sz="4" w:space="6"/>
          <w:right w:val="single" w:color="000000" w:sz="4" w:space="6"/>
        </w:pBdr>
        <w:spacing w:after="0" w:line="240"/>
        <w:ind w:left="140" w:right="140"/>
      </w:pPr>
      <w:r>
        <w:rPr>
          <w:rFonts w:ascii="Courier New" w:cs="Courier New" w:eastAsia="Courier New" w:hAnsi="Courier New"/>
          <w:sz w:val="16"/>
          <w:szCs w:val="16"/>
        </w:rPr>
        <w:t xml:space="preserve">  "error": {</w:t>
      </w:r>
    </w:p>
    <w:p>
      <w:pPr>
        <w:keepNext/>
        <w:pBdr>
          <w:top w:val="single" w:color="000000" w:sz="4" w:space="6"/>
          <w:left w:val="single" w:color="000000" w:sz="4" w:space="6"/>
          <w:bottom w:val="single" w:color="000000" w:sz="4" w:space="6"/>
          <w:right w:val="single" w:color="000000" w:sz="4" w:space="6"/>
        </w:pBdr>
        <w:spacing w:after="0" w:line="240"/>
        <w:ind w:left="140" w:right="140"/>
      </w:pPr>
      <w:r>
        <w:rPr>
          <w:rFonts w:ascii="Courier New" w:cs="Courier New" w:eastAsia="Courier New" w:hAnsi="Courier New"/>
          <w:sz w:val="16"/>
          <w:szCs w:val="16"/>
        </w:rPr>
        <w:t xml:space="preserve">    "code": "WEIGHT_LIMIT_EXCEEDED",</w:t>
      </w:r>
    </w:p>
    <w:p>
      <w:pPr>
        <w:keepNext/>
        <w:pBdr>
          <w:top w:val="single" w:color="000000" w:sz="4" w:space="6"/>
          <w:left w:val="single" w:color="000000" w:sz="4" w:space="6"/>
          <w:bottom w:val="single" w:color="000000" w:sz="4" w:space="6"/>
          <w:right w:val="single" w:color="000000" w:sz="4" w:space="6"/>
        </w:pBdr>
        <w:spacing w:after="0" w:line="240"/>
        <w:ind w:left="140" w:right="140"/>
      </w:pPr>
      <w:r>
        <w:rPr>
          <w:rFonts w:ascii="Courier New" w:cs="Courier New" w:eastAsia="Courier New" w:hAnsi="Courier New"/>
          <w:sz w:val="16"/>
          <w:szCs w:val="16"/>
        </w:rPr>
        <w:t xml:space="preserve">    "message": "El peso máximo permitido es 20 kg. Reduce el peso e inténtalo de nuevo.",</w:t>
      </w:r>
    </w:p>
    <w:p>
      <w:pPr>
        <w:keepNext/>
        <w:pBdr>
          <w:top w:val="single" w:color="000000" w:sz="4" w:space="6"/>
          <w:left w:val="single" w:color="000000" w:sz="4" w:space="6"/>
          <w:bottom w:val="single" w:color="000000" w:sz="4" w:space="6"/>
          <w:right w:val="single" w:color="000000" w:sz="4" w:space="6"/>
        </w:pBdr>
        <w:spacing w:after="0" w:line="240"/>
        <w:ind w:left="140" w:right="140"/>
      </w:pPr>
      <w:r>
        <w:rPr>
          <w:rFonts w:ascii="Courier New" w:cs="Courier New" w:eastAsia="Courier New" w:hAnsi="Courier New"/>
          <w:sz w:val="16"/>
          <w:szCs w:val="16"/>
        </w:rPr>
        <w:t xml:space="preserve">    "details": [{ "field": "weightKg", "message": "El peso máximo permitido es 20 kg. …" }]</w:t>
      </w:r>
    </w:p>
    <w:p>
      <w:pPr>
        <w:keepNext/>
        <w:pBdr>
          <w:top w:val="single" w:color="000000" w:sz="4" w:space="6"/>
          <w:left w:val="single" w:color="000000" w:sz="4" w:space="6"/>
          <w:bottom w:val="single" w:color="000000" w:sz="4" w:space="6"/>
          <w:right w:val="single" w:color="000000" w:sz="4" w:space="6"/>
        </w:pBdr>
        <w:spacing w:after="0" w:line="240"/>
        <w:ind w:left="140" w:right="140"/>
      </w:pPr>
      <w:r>
        <w:rPr>
          <w:rFonts w:ascii="Courier New" w:cs="Courier New" w:eastAsia="Courier New" w:hAnsi="Courier New"/>
          <w:sz w:val="16"/>
          <w:szCs w:val="16"/>
        </w:rPr>
        <w:t xml:space="preserve">  }</w:t>
      </w:r>
    </w:p>
    <w:p>
      <w:pPr>
        <w:keepNext w:val="false"/>
        <w:pBdr>
          <w:top w:val="single" w:color="000000" w:sz="4" w:space="6"/>
          <w:left w:val="single" w:color="000000" w:sz="4" w:space="6"/>
          <w:bottom w:val="single" w:color="000000" w:sz="4" w:space="6"/>
          <w:right w:val="single" w:color="000000" w:sz="4" w:space="6"/>
        </w:pBdr>
        <w:spacing w:after="0" w:line="240"/>
        <w:ind w:left="140" w:right="140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pStyle w:val="Heading2"/>
        <w:keepNext/>
      </w:pPr>
      <w:r>
        <w:t xml:space="preserve">Entorno y herramientas</w:t>
      </w:r>
    </w:p>
    <w:p>
      <w:pPr>
        <w:keepNext/>
        <w:spacing w:after="80" w:before="120"/>
      </w:pPr>
      <w:r>
        <w:rPr>
          <w:b/>
          <w:bCs/>
          <w:sz w:val="19"/>
          <w:szCs w:val="19"/>
        </w:rPr>
        <w:t xml:space="preserve">Tabla 4. Herramientas utilizadas</w:t>
      </w:r>
    </w:p>
    <w:tbl>
      <w:tblPr>
        <w:tblW w:type="dxa" w:w="936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800"/>
        <w:gridCol w:w="1400"/>
        <w:gridCol w:w="5160"/>
      </w:tblGrid>
      <w:tr>
        <w:trPr>
          <w:cantSplit/>
          <w:tblHeader/>
        </w:trPr>
        <w:tc>
          <w:tcPr>
            <w:tcW w:type="dxa" w:w="28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Herramienta</w:t>
            </w:r>
          </w:p>
        </w:tc>
        <w:tc>
          <w:tcPr>
            <w:tcW w:type="dxa" w:w="14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Versión</w:t>
            </w:r>
          </w:p>
        </w:tc>
        <w:tc>
          <w:tcPr>
            <w:tcW w:type="dxa" w:w="516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Node.js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22.13</w:t>
            </w:r>
          </w:p>
        </w:tc>
        <w:tc>
          <w:tcPr>
            <w:tcW w:type="dxa" w:w="51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Entorno de ejecución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Vitest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5.0.5</w:t>
            </w:r>
          </w:p>
        </w:tc>
        <w:tc>
          <w:tcPr>
            <w:tcW w:type="dxa" w:w="51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Ejecución de pruebas unitarias, de API y de interfaz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Supertest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7.3</w:t>
            </w:r>
          </w:p>
        </w:tc>
        <w:tc>
          <w:tcPr>
            <w:tcW w:type="dxa" w:w="51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Pruebas de la API REST sobre la aplicación Express real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Testing Library (React)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16.3</w:t>
            </w:r>
          </w:p>
        </w:tc>
        <w:tc>
          <w:tcPr>
            <w:tcW w:type="dxa" w:w="51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Pruebas de caja negra de la interfaz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@vitest/coverage-v8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5.0.5</w:t>
            </w:r>
          </w:p>
        </w:tc>
        <w:tc>
          <w:tcPr>
            <w:tcW w:type="dxa" w:w="51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Medición de cobertura con la instrumentación nativa de V8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Resumen de la ejecución</w:t>
      </w:r>
    </w:p>
    <w:p>
      <w:pPr>
        <w:keepNext/>
        <w:spacing w:after="80" w:before="120"/>
      </w:pPr>
      <w:r>
        <w:rPr>
          <w:b/>
          <w:bCs/>
          <w:sz w:val="19"/>
          <w:szCs w:val="19"/>
        </w:rPr>
        <w:t xml:space="preserve">Tabla 5. Pruebas automatizadas ejecutadas</w:t>
      </w:r>
    </w:p>
    <w:tbl>
      <w:tblPr>
        <w:tblW w:type="dxa" w:w="936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300"/>
        <w:gridCol w:w="2860"/>
        <w:gridCol w:w="1000"/>
        <w:gridCol w:w="1200"/>
      </w:tblGrid>
      <w:tr>
        <w:trPr>
          <w:cantSplit/>
          <w:tblHeader/>
        </w:trPr>
        <w:tc>
          <w:tcPr>
            <w:tcW w:type="dxa" w:w="43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Archivo de pruebas</w:t>
            </w:r>
          </w:p>
        </w:tc>
        <w:tc>
          <w:tcPr>
            <w:tcW w:type="dxa" w:w="286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Técnica / nivel</w:t>
            </w:r>
          </w:p>
        </w:tc>
        <w:tc>
          <w:tcPr>
            <w:tcW w:type="dxa" w:w="10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Pruebas</w:t>
            </w:r>
          </w:p>
        </w:tc>
        <w:tc>
          <w:tcPr>
            <w:tcW w:type="dxa" w:w="12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backend/tests/black-box/weight.test.ts</w:t>
            </w: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Caja negra: EP y BVA (Peso)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backend/tests/black-box/amount.test.ts</w:t>
            </w: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Caja negra: EP y BVA (Monto)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backend/tests/black-box/decision-table.test.ts</w:t>
            </w: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Caja negra: tabla de decisión y EP categórica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backend/tests/white-box/calculate-shipping-cost.paths.test.ts</w:t>
            </w: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Caja blanca: caminos independientes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backend/tests/domain/*.test.ts</w:t>
            </w: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Unitarias del dominio (patrón AAA)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backend/tests/api/app.test.ts</w:t>
            </w: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Integración de endpoints (API REST)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backend/tests/unit/*.test.ts</w:t>
            </w: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Unitarias (configuración y servicio)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Total backend</w:t>
            </w: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107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107 aprobadas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frontend/src/views/pages/QuotePage.test.tsx</w:t>
            </w: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Caja negra e integración del cotizador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frontend/src/app/App.test.tsx, views/pages/Order*.test.tsx</w:t>
            </w: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Integración: navegación, tema y páginas de órdenes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frontend/src/viewmodels/*.test.ts</w:t>
            </w: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Unitarias de ViewModels y validación del peso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47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frontend/src/{services,core,ui,views/components}</w:t>
            </w: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Unitarias: servicios HTTP, tema, hooks y componentes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Total frontend</w:t>
            </w:r>
          </w:p>
        </w:tc>
        <w:tc>
          <w:tcPr>
            <w:tcW w:type="dxa" w:w="28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127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127 aprobadas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1. Plan de Pruebas de Caja Negra (QA + Frontend)</w:t>
      </w:r>
    </w:p>
    <w:p>
      <w:pPr>
        <w:pStyle w:val="Heading2"/>
        <w:keepNext/>
      </w:pPr>
      <w:r>
        <w:t xml:space="preserve">1.1 Enfoque y variables</w:t>
      </w:r>
    </w:p>
    <w:p>
      <w:pPr>
        <w:spacing w:after="140" w:line="276"/>
        <w:jc w:val="both"/>
      </w:pPr>
      <w:r>
        <w:t xml:space="preserve">Las pruebas de caja negra se diseñan a partir de la especificación, sin considerar la implementación. Se aplican </w:t>
      </w:r>
      <w:r>
        <w:rPr>
          <w:b/>
          <w:bCs/>
        </w:rPr>
        <w:t xml:space="preserve">Particiones de Equivalencia (EP)</w:t>
      </w:r>
      <w:r>
        <w:t xml:space="preserve">, </w:t>
      </w:r>
      <w:r>
        <w:rPr>
          <w:b/>
          <w:bCs/>
        </w:rPr>
        <w:t xml:space="preserve">Análisis de Valores Límite (BVA)</w:t>
      </w:r>
      <w:r>
        <w:t xml:space="preserve"> y </w:t>
      </w:r>
      <w:r>
        <w:rPr>
          <w:b/>
          <w:bCs/>
        </w:rPr>
        <w:t xml:space="preserve">Tablas de Decisión</w:t>
      </w:r>
      <w:r>
        <w:t xml:space="preserve"> (ISTQB, 2023; ISO/IEC/IEEE 29119-4, 2021). Se ejecutan contra la API real (</w:t>
      </w:r>
      <w:r>
        <w:rPr>
          <w:rFonts w:ascii="Courier New" w:cs="Courier New" w:eastAsia="Courier New" w:hAnsi="Courier New"/>
          <w:sz w:val="20"/>
          <w:szCs w:val="20"/>
        </w:rPr>
        <w:t xml:space="preserve">POST /api/v1/pricing/quote</w:t>
      </w:r>
      <w:r>
        <w:t xml:space="preserve">, sin dobles de prueba) y contra la interfaz del cotizador.</w:t>
      </w:r>
    </w:p>
    <w:p>
      <w:pPr>
        <w:keepNext/>
        <w:spacing w:after="80" w:before="120"/>
      </w:pPr>
      <w:r>
        <w:rPr>
          <w:b/>
          <w:bCs/>
          <w:sz w:val="19"/>
          <w:szCs w:val="19"/>
        </w:rPr>
        <w:t xml:space="preserve">Tabla 6. Variables del dominio de prueba</w:t>
      </w:r>
    </w:p>
    <w:tbl>
      <w:tblPr>
        <w:tblW w:type="dxa" w:w="936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900"/>
        <w:gridCol w:w="1900"/>
        <w:gridCol w:w="3360"/>
        <w:gridCol w:w="2200"/>
      </w:tblGrid>
      <w:tr>
        <w:trPr>
          <w:cantSplit/>
          <w:tblHeader/>
        </w:trPr>
        <w:tc>
          <w:tcPr>
            <w:tcW w:type="dxa" w:w="19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Variable</w:t>
            </w:r>
          </w:p>
        </w:tc>
        <w:tc>
          <w:tcPr>
            <w:tcW w:type="dxa" w:w="19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Naturaleza</w:t>
            </w:r>
          </w:p>
        </w:tc>
        <w:tc>
          <w:tcPr>
            <w:tcW w:type="dxa" w:w="336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Dominio válido</w:t>
            </w:r>
          </w:p>
        </w:tc>
        <w:tc>
          <w:tcPr>
            <w:tcW w:type="dxa" w:w="22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Origen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Peso (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6"/>
                <w:szCs w:val="16"/>
              </w:rPr>
              <w:t xml:space="preserve">weightKg</w:t>
            </w:r>
            <w:r>
              <w:rPr>
                <w:b w:val="false"/>
                <w:bCs w:val="false"/>
                <w:sz w:val="18"/>
                <w:szCs w:val="18"/>
              </w:rPr>
              <w:t xml:space="preserve">)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Entrada numérica</w:t>
            </w:r>
          </w:p>
        </w:tc>
        <w:tc>
          <w:tcPr>
            <w:tcW w:type="dxa" w:w="33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0.01 a 20.00 kg, máximo 2 decimales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Tipo de cliente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Entrada categórica</w:t>
            </w:r>
          </w:p>
        </w:tc>
        <w:tc>
          <w:tcPr>
            <w:tcW w:type="dxa" w:w="33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NUEVO, FRECUENTE, VIP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Tipo de envío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Entrada categórica</w:t>
            </w:r>
          </w:p>
        </w:tc>
        <w:tc>
          <w:tcPr>
            <w:tcW w:type="dxa" w:w="33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ESTANDAR, EXPRESS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Monto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Salida numérica (USD)</w:t>
            </w:r>
          </w:p>
        </w:tc>
        <w:tc>
          <w:tcPr>
            <w:tcW w:type="dxa" w:w="33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Cargo por peso, subtotal, descuento, subtotal con descuento, recargo y total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Calculado</w:t>
            </w:r>
          </w:p>
        </w:tc>
      </w:tr>
    </w:tbl>
    <w:p>
      <w:pPr>
        <w:spacing w:after="120"/>
      </w:pPr>
    </w:p>
    <w:p>
      <w:pPr>
        <w:spacing w:after="140" w:line="276"/>
        <w:jc w:val="both"/>
      </w:pPr>
      <w:r>
        <w:t xml:space="preserve">El marco teórico señala que el campo </w:t>
      </w:r>
      <w:r>
        <w:rPr>
          <w:b/>
          <w:bCs/>
        </w:rPr>
        <w:t xml:space="preserve">Monto</w:t>
      </w:r>
      <w:r>
        <w:t xml:space="preserve"> no está definido en las reglas. El sistema no recibe un monto como dato de entrada: el Monto es el importe que calcula la tarifa. Por ello se particiona el </w:t>
      </w:r>
      <w:r>
        <w:rPr>
          <w:b/>
          <w:bCs/>
        </w:rPr>
        <w:t xml:space="preserve">dominio de salida</w:t>
      </w:r>
      <w:r>
        <w:t xml:space="preserve">: para cada clase de monto se deriva la entrada que la produce y se verifican sus límites, incluido el redondeo al centavo.</w:t>
      </w:r>
    </w:p>
    <w:p>
      <w:pPr>
        <w:spacing w:after="140" w:line="276"/>
        <w:jc w:val="both"/>
      </w:pPr>
      <w:r>
        <w:t xml:space="preserve">Para aislar el efecto del peso, sus casos fijan el cliente en NUEVO y el envío en ESTANDAR (sin descuento ni recargo).</w:t>
      </w:r>
    </w:p>
    <w:p>
      <w:pPr>
        <w:pStyle w:val="Heading2"/>
        <w:keepNext/>
      </w:pPr>
      <w:r>
        <w:t xml:space="preserve">1.2 Particiones de equivalencia: Peso</w:t>
      </w:r>
    </w:p>
    <w:p>
      <w:pPr>
        <w:spacing w:after="140" w:line="276"/>
        <w:jc w:val="both"/>
      </w:pPr>
      <w:r>
        <w:t xml:space="preserve">Se usan las clases P1 a P5 del marco teórico y una clase adicional, P6, para la precisión del peso:</w:t>
      </w:r>
    </w:p>
    <w:p>
      <w:pPr>
        <w:keepNext/>
        <w:spacing w:after="80" w:before="120"/>
      </w:pPr>
      <w:r>
        <w:rPr>
          <w:b/>
          <w:bCs/>
          <w:sz w:val="19"/>
          <w:szCs w:val="19"/>
        </w:rPr>
        <w:t xml:space="preserve">Tabla 7. Clases de equivalencia del Peso</w:t>
      </w:r>
    </w:p>
    <w:tbl>
      <w:tblPr>
        <w:tblW w:type="dxa" w:w="936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00"/>
        <w:gridCol w:w="3000"/>
        <w:gridCol w:w="2000"/>
        <w:gridCol w:w="3460"/>
      </w:tblGrid>
      <w:tr>
        <w:trPr>
          <w:cantSplit/>
          <w:tblHeader/>
        </w:trPr>
        <w:tc>
          <w:tcPr>
            <w:tcW w:type="dxa" w:w="9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Clase</w:t>
            </w:r>
          </w:p>
        </w:tc>
        <w:tc>
          <w:tcPr>
            <w:tcW w:type="dxa" w:w="30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Rango (kg)</w:t>
            </w:r>
          </w:p>
        </w:tc>
        <w:tc>
          <w:tcPr>
            <w:tcW w:type="dxa" w:w="20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346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Respuesta esperada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P1</w:t>
            </w:r>
          </w:p>
        </w:tc>
        <w:tc>
          <w:tcPr>
            <w:tcW w:type="dxa" w:w="3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Peso ≤ 0 (cero o negativo)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Inválida</w:t>
            </w:r>
          </w:p>
        </w:tc>
        <w:tc>
          <w:tcPr>
            <w:tcW w:type="dxa" w:w="34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422 INVALID_WEIGHT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P2</w:t>
            </w:r>
          </w:p>
        </w:tc>
        <w:tc>
          <w:tcPr>
            <w:tcW w:type="dxa" w:w="3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0.01 ≤ Peso ≤ 5.00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Válida ($2.00/kg)</w:t>
            </w:r>
          </w:p>
        </w:tc>
        <w:tc>
          <w:tcPr>
            <w:tcW w:type="dxa" w:w="34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200; tarifa del tramo 1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P3</w:t>
            </w:r>
          </w:p>
        </w:tc>
        <w:tc>
          <w:tcPr>
            <w:tcW w:type="dxa" w:w="3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5.01 ≤ Peso ≤ 20.00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Válida ($4.00/kg)</w:t>
            </w:r>
          </w:p>
        </w:tc>
        <w:tc>
          <w:tcPr>
            <w:tcW w:type="dxa" w:w="34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200; tarifa del tramo 2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P4</w:t>
            </w:r>
          </w:p>
        </w:tc>
        <w:tc>
          <w:tcPr>
            <w:tcW w:type="dxa" w:w="3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Peso &gt; 20.00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Inválida (rechazo)</w:t>
            </w:r>
          </w:p>
        </w:tc>
        <w:tc>
          <w:tcPr>
            <w:tcW w:type="dxa" w:w="34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422 WEIGHT_LIMIT_EXCEEDED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P5</w:t>
            </w:r>
          </w:p>
        </w:tc>
        <w:tc>
          <w:tcPr>
            <w:tcW w:type="dxa" w:w="3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 numérico o vacío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Inválida</w:t>
            </w:r>
          </w:p>
        </w:tc>
        <w:tc>
          <w:tcPr>
            <w:tcW w:type="dxa" w:w="34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400 VALIDATION_ERROR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P6</w:t>
            </w:r>
          </w:p>
        </w:tc>
        <w:tc>
          <w:tcPr>
            <w:tcW w:type="dxa" w:w="3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Más de 2 decimales (adicional)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Inválida</w:t>
            </w:r>
          </w:p>
        </w:tc>
        <w:tc>
          <w:tcPr>
            <w:tcW w:type="dxa" w:w="34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422 INVALID_WEIGHT</w:t>
            </w:r>
          </w:p>
        </w:tc>
      </w:tr>
    </w:tbl>
    <w:p>
      <w:pPr>
        <w:spacing w:after="120"/>
      </w:pPr>
    </w:p>
    <w:p>
      <w:pPr>
        <w:keepNext/>
        <w:spacing w:after="80" w:before="120"/>
      </w:pPr>
      <w:r>
        <w:rPr>
          <w:b/>
          <w:bCs/>
          <w:sz w:val="19"/>
          <w:szCs w:val="19"/>
        </w:rPr>
        <w:t xml:space="preserve">Tabla 8. Casos de prueba por partición (Peso)</w:t>
      </w:r>
    </w:p>
    <w:tbl>
      <w:tblPr>
        <w:tblW w:type="dxa" w:w="936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100"/>
        <w:gridCol w:w="800"/>
        <w:gridCol w:w="1500"/>
        <w:gridCol w:w="4760"/>
        <w:gridCol w:w="1200"/>
      </w:tblGrid>
      <w:tr>
        <w:trPr>
          <w:cantSplit/>
          <w:tblHeader/>
        </w:trPr>
        <w:tc>
          <w:tcPr>
            <w:tcW w:type="dxa" w:w="11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8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Clase</w:t>
            </w:r>
          </w:p>
        </w:tc>
        <w:tc>
          <w:tcPr>
            <w:tcW w:type="dxa" w:w="15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Entrada (kg)</w:t>
            </w:r>
          </w:p>
        </w:tc>
        <w:tc>
          <w:tcPr>
            <w:tcW w:type="dxa" w:w="476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type="dxa" w:w="12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Obtenido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EP-P-01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P1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-2</w:t>
            </w:r>
          </w:p>
        </w:tc>
        <w:tc>
          <w:tcPr>
            <w:tcW w:type="dxa" w:w="47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422 INVALID_WEIGHT, campo weightKg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EP-P-02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P2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7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200 · $2.00/kg · cargo $6.00 · total $11.00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EP-P-03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P3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12.5</w:t>
            </w:r>
          </w:p>
        </w:tc>
        <w:tc>
          <w:tcPr>
            <w:tcW w:type="dxa" w:w="47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200 · $4.00/kg · cargo $50.00 · total $55.00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EP-P-04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P4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35</w:t>
            </w:r>
          </w:p>
        </w:tc>
        <w:tc>
          <w:tcPr>
            <w:tcW w:type="dxa" w:w="47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422 WEIGHT_LIMIT_EXCEEDED, campo weightKg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EP-P-05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P5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"abc"</w:t>
            </w:r>
          </w:p>
        </w:tc>
        <w:tc>
          <w:tcPr>
            <w:tcW w:type="dxa" w:w="47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400 VALIDATION_ERROR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EP-P-06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P5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nulo</w:t>
            </w:r>
          </w:p>
        </w:tc>
        <w:tc>
          <w:tcPr>
            <w:tcW w:type="dxa" w:w="47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400 VALIDATION_ERROR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EP-P-07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P5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"" (vacío)</w:t>
            </w:r>
          </w:p>
        </w:tc>
        <w:tc>
          <w:tcPr>
            <w:tcW w:type="dxa" w:w="47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400 VALIDATION_ERROR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EP-P-08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P5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(ausente)</w:t>
            </w:r>
          </w:p>
        </w:tc>
        <w:tc>
          <w:tcPr>
            <w:tcW w:type="dxa" w:w="47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400 VALIDATION_ERROR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EP-P-09</w:t>
            </w:r>
          </w:p>
        </w:tc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P6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2.555</w:t>
            </w:r>
          </w:p>
        </w:tc>
        <w:tc>
          <w:tcPr>
            <w:tcW w:type="dxa" w:w="47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422 INVALID_WEIGHT, campo weightKg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Aprobado</w:t>
            </w:r>
          </w:p>
        </w:tc>
      </w:tr>
    </w:tbl>
    <w:p>
      <w:pPr>
        <w:pStyle w:val="Heading2"/>
        <w:keepNext/>
      </w:pPr>
      <w:r>
        <w:t xml:space="preserve">1.3 Análisis de valores límite: Peso</w:t>
      </w:r>
    </w:p>
    <w:p>
      <w:pPr>
        <w:spacing w:after="140" w:line="276"/>
        <w:jc w:val="both"/>
      </w:pPr>
      <w:r>
        <w:t xml:space="preserve">BVA extiende EP probando el borde de cada clase y sus vecinos inmediatos, porque los defectos se concentran en las fronteras (Myers et al., 2011). Se prueban los valores que propone el marco teórico para cada clase:</w:t>
      </w:r>
    </w:p>
    <w:p>
      <w:pPr>
        <w:keepNext/>
        <w:spacing w:after="80" w:before="120"/>
      </w:pPr>
      <w:r>
        <w:rPr>
          <w:b/>
          <w:bCs/>
          <w:sz w:val="19"/>
          <w:szCs w:val="19"/>
        </w:rPr>
        <w:t xml:space="preserve">Tabla 9. Casos de valores límite (Peso)</w:t>
      </w:r>
    </w:p>
    <w:tbl>
      <w:tblPr>
        <w:tblW w:type="dxa" w:w="936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100"/>
        <w:gridCol w:w="700"/>
        <w:gridCol w:w="900"/>
        <w:gridCol w:w="2000"/>
        <w:gridCol w:w="3560"/>
        <w:gridCol w:w="1100"/>
      </w:tblGrid>
      <w:tr>
        <w:trPr>
          <w:cantSplit/>
          <w:tblHeader/>
        </w:trPr>
        <w:tc>
          <w:tcPr>
            <w:tcW w:type="dxa" w:w="11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type="dxa" w:w="7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Clase</w:t>
            </w:r>
          </w:p>
        </w:tc>
        <w:tc>
          <w:tcPr>
            <w:tcW w:type="dxa" w:w="9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Valor (kg)</w:t>
            </w:r>
          </w:p>
        </w:tc>
        <w:tc>
          <w:tcPr>
            <w:tcW w:type="dxa" w:w="20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Posición</w:t>
            </w:r>
          </w:p>
        </w:tc>
        <w:tc>
          <w:tcPr>
            <w:tcW w:type="dxa" w:w="356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Resultado esperado</w:t>
            </w:r>
          </w:p>
        </w:tc>
        <w:tc>
          <w:tcPr>
            <w:tcW w:type="dxa" w:w="11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Obtenido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BVA-P-01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−0.01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Vecino inferior de 0.00</w:t>
            </w:r>
          </w:p>
        </w:tc>
        <w:tc>
          <w:tcPr>
            <w:tcW w:type="dxa" w:w="35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422 INVALID_WEIGHT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BVA-P-02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0.00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Límite superior de P1</w:t>
            </w:r>
          </w:p>
        </w:tc>
        <w:tc>
          <w:tcPr>
            <w:tcW w:type="dxa" w:w="35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422 INVALID_WEIGHT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BVA-P-03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P2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Límite inferior de P2</w:t>
            </w:r>
          </w:p>
        </w:tc>
        <w:tc>
          <w:tcPr>
            <w:tcW w:type="dxa" w:w="35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$2.00/kg · cargo $0.02 · total $5.02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BVA-P-04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P2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0.02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Vecino interior</w:t>
            </w:r>
          </w:p>
        </w:tc>
        <w:tc>
          <w:tcPr>
            <w:tcW w:type="dxa" w:w="35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$2.00/kg · cargo $0.04 · total $5.04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BVA-P-05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P2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4.99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Vecino interior</w:t>
            </w:r>
          </w:p>
        </w:tc>
        <w:tc>
          <w:tcPr>
            <w:tcW w:type="dxa" w:w="35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$2.00/kg · cargo $9.98 · total $14.98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BVA-P-06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P2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5.00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Límite superior de P2</w:t>
            </w:r>
          </w:p>
        </w:tc>
        <w:tc>
          <w:tcPr>
            <w:tcW w:type="dxa" w:w="35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$2.00/kg · cargo $10.00 · total $15.00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BVA-P-07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P3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5.01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Límite inferior de P3</w:t>
            </w:r>
          </w:p>
        </w:tc>
        <w:tc>
          <w:tcPr>
            <w:tcW w:type="dxa" w:w="35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$4.00/kg · cargo $20.04 · total $25.04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BVA-P-08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P3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5.02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Vecino interior</w:t>
            </w:r>
          </w:p>
        </w:tc>
        <w:tc>
          <w:tcPr>
            <w:tcW w:type="dxa" w:w="35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$4.00/kg · cargo $20.08 · total $25.08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BVA-P-09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P3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19.99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Vecino interior</w:t>
            </w:r>
          </w:p>
        </w:tc>
        <w:tc>
          <w:tcPr>
            <w:tcW w:type="dxa" w:w="35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$4.00/kg · cargo $79.96 · total $84.96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BVA-P-10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P3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20.00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Límite superior de P3</w:t>
            </w:r>
          </w:p>
        </w:tc>
        <w:tc>
          <w:tcPr>
            <w:tcW w:type="dxa" w:w="35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$4.00/kg · cargo $80.00 · total $85.00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BVA-P-11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P4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20.01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Límite inferior de P4</w:t>
            </w:r>
          </w:p>
        </w:tc>
        <w:tc>
          <w:tcPr>
            <w:tcW w:type="dxa" w:w="35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422 WEIGHT_LIMIT_EXCEEDED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</w:tbl>
    <w:p>
      <w:pPr>
        <w:pStyle w:val="Heading2"/>
        <w:keepNext/>
      </w:pPr>
      <w:r>
        <w:t xml:space="preserve">1.4 Particiones de equivalencia: Monto</w:t>
      </w:r>
    </w:p>
    <w:p>
      <w:pPr>
        <w:spacing w:after="140" w:line="276"/>
        <w:jc w:val="both"/>
      </w:pPr>
      <w:r>
        <w:t xml:space="preserve">Con el cálculo en cadena, el monto mínimo posible es $4.02 (0.01 kg, cliente VIP, envío ESTANDAR: subtotal $5.02 − descuento $1.00) y el máximo es $106.25 (20.00 kg, cliente NUEVO, envío EXPRESS: subtotal $85.00 + recargo $21.25). Por el salto de tarifa entre tramos, el cargo por peso no puede tomar valores entre $10.00 y $20.04.</w:t>
      </w:r>
    </w:p>
    <w:p>
      <w:pPr>
        <w:keepNext/>
        <w:spacing w:after="80" w:before="120"/>
      </w:pPr>
      <w:r>
        <w:rPr>
          <w:b/>
          <w:bCs/>
          <w:sz w:val="19"/>
          <w:szCs w:val="19"/>
        </w:rPr>
        <w:t xml:space="preserve">Tabla 10. Clases de equivalencia y casos del Monto</w:t>
      </w:r>
    </w:p>
    <w:tbl>
      <w:tblPr>
        <w:tblW w:type="dxa" w:w="936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00"/>
        <w:gridCol w:w="2100"/>
        <w:gridCol w:w="1300"/>
        <w:gridCol w:w="1800"/>
        <w:gridCol w:w="2260"/>
        <w:gridCol w:w="900"/>
      </w:tblGrid>
      <w:tr>
        <w:trPr>
          <w:cantSplit/>
          <w:tblHeader/>
        </w:trPr>
        <w:tc>
          <w:tcPr>
            <w:tcW w:type="dxa" w:w="10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type="dxa" w:w="21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Clase de monto</w:t>
            </w:r>
          </w:p>
        </w:tc>
        <w:tc>
          <w:tcPr>
            <w:tcW w:type="dxa" w:w="13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Tipo</w:t>
            </w:r>
          </w:p>
        </w:tc>
        <w:tc>
          <w:tcPr>
            <w:tcW w:type="dxa" w:w="18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Entrada que la produce</w:t>
            </w:r>
          </w:p>
        </w:tc>
        <w:tc>
          <w:tcPr>
            <w:tcW w:type="dxa" w:w="226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Resultado esperado</w:t>
            </w:r>
          </w:p>
        </w:tc>
        <w:tc>
          <w:tcPr>
            <w:tcW w:type="dxa" w:w="9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Obtenido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EP-M-01</w:t>
            </w:r>
          </w:p>
        </w:tc>
        <w:tc>
          <w:tcPr>
            <w:tcW w:type="dxa" w:w="2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Cargo por peso en [$0.02, $10.00]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Válida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2.5 kg · NUEVO · ESTANDAR</w:t>
            </w:r>
          </w:p>
        </w:tc>
        <w:tc>
          <w:tcPr>
            <w:tcW w:type="dxa" w:w="22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cargo $5.00 · total $10.00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EP-M-02</w:t>
            </w:r>
          </w:p>
        </w:tc>
        <w:tc>
          <w:tcPr>
            <w:tcW w:type="dxa" w:w="2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Cargo por peso en [$20.04, $80.00]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Válida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8 kg · NUEVO · ESTANDAR</w:t>
            </w:r>
          </w:p>
        </w:tc>
        <w:tc>
          <w:tcPr>
            <w:tcW w:type="dxa" w:w="22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cargo $32.00 · total $37.00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EP-M-03</w:t>
            </w:r>
          </w:p>
        </w:tc>
        <w:tc>
          <w:tcPr>
            <w:tcW w:type="dxa" w:w="2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Cargo por peso en ($10.00, $20.04)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No alcanzable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5.00 kg y 5.01 kg</w:t>
            </w:r>
          </w:p>
        </w:tc>
        <w:tc>
          <w:tcPr>
            <w:tcW w:type="dxa" w:w="22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$10.00 y $20.04: ningún peso válido produce un valor intermedio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EP-M-04</w:t>
            </w:r>
          </w:p>
        </w:tc>
        <w:tc>
          <w:tcPr>
            <w:tcW w:type="dxa" w:w="2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Total en [$4.02, $106.25]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Válida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10 kg · VIP · EXPRESS</w:t>
            </w:r>
          </w:p>
        </w:tc>
        <w:tc>
          <w:tcPr>
            <w:tcW w:type="dxa" w:w="22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subtotal $45.00 · −$9.00 · con descuento $36.00 · +$9.00 · total $45.00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EP-M-05</w:t>
            </w:r>
          </w:p>
        </w:tc>
        <w:tc>
          <w:tcPr>
            <w:tcW w:type="dxa" w:w="2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Monto con fracción de centavo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Válida (se redondea)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0.03 kg · FRECUENTE · EXPRESS</w:t>
            </w:r>
          </w:p>
        </w:tc>
        <w:tc>
          <w:tcPr>
            <w:tcW w:type="dxa" w:w="22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descuento 0.506 → $0.51 · recargo sobre $4.55: 1.1375 → $1.14 · total $5.69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EP-M-06</w:t>
            </w:r>
          </w:p>
        </w:tc>
        <w:tc>
          <w:tcPr>
            <w:tcW w:type="dxa" w:w="2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Total mayor que $106.25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Inválida (no se genera)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20.01 kg · NUEVO · EXPRESS</w:t>
            </w:r>
          </w:p>
        </w:tc>
        <w:tc>
          <w:tcPr>
            <w:tcW w:type="dxa" w:w="22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422, sin desglose de monto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</w:tbl>
    <w:p>
      <w:pPr>
        <w:pStyle w:val="Heading2"/>
        <w:keepNext/>
      </w:pPr>
      <w:r>
        <w:t xml:space="preserve">1.5 Análisis de valores límite: Monto</w:t>
      </w:r>
    </w:p>
    <w:p>
      <w:pPr>
        <w:keepNext/>
        <w:spacing w:after="80" w:before="120"/>
      </w:pPr>
      <w:r>
        <w:rPr>
          <w:b/>
          <w:bCs/>
          <w:sz w:val="19"/>
          <w:szCs w:val="19"/>
        </w:rPr>
        <w:t xml:space="preserve">Tabla 11. Casos de valores límite (Monto)</w:t>
      </w:r>
    </w:p>
    <w:tbl>
      <w:tblPr>
        <w:tblW w:type="dxa" w:w="936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100"/>
        <w:gridCol w:w="2000"/>
        <w:gridCol w:w="2300"/>
        <w:gridCol w:w="3060"/>
        <w:gridCol w:w="900"/>
      </w:tblGrid>
      <w:tr>
        <w:trPr>
          <w:cantSplit/>
          <w:tblHeader/>
        </w:trPr>
        <w:tc>
          <w:tcPr>
            <w:tcW w:type="dxa" w:w="11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type="dxa" w:w="20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Caso límite</w:t>
            </w:r>
          </w:p>
        </w:tc>
        <w:tc>
          <w:tcPr>
            <w:tcW w:type="dxa" w:w="23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Entrada</w:t>
            </w:r>
          </w:p>
        </w:tc>
        <w:tc>
          <w:tcPr>
            <w:tcW w:type="dxa" w:w="306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Resultado esperado</w:t>
            </w:r>
          </w:p>
        </w:tc>
        <w:tc>
          <w:tcPr>
            <w:tcW w:type="dxa" w:w="9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Obtenido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BVA-M-01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Total mínimo posible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0.01 kg · VIP · ESTANDAR</w:t>
            </w:r>
          </w:p>
        </w:tc>
        <w:tc>
          <w:tcPr>
            <w:tcW w:type="dxa" w:w="3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subtotal $5.02 · descuento 1.004 → $1.00 · total $4.02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BVA-M-02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Total máximo posible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20.00 kg · NUEVO · EXPRESS</w:t>
            </w:r>
          </w:p>
        </w:tc>
        <w:tc>
          <w:tcPr>
            <w:tcW w:type="dxa" w:w="3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subtotal $85.00 · recargo $21.25 · total $106.25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BVA-M-03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Justo encima del total máximo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20.01 kg · NUEVO · EXPRESS</w:t>
            </w:r>
          </w:p>
        </w:tc>
        <w:tc>
          <w:tcPr>
            <w:tcW w:type="dxa" w:w="3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422: no se genera monto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BVA-M-04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Cargo máximo del tramo 1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5.00 kg · NUEVO · ESTANDAR</w:t>
            </w:r>
          </w:p>
        </w:tc>
        <w:tc>
          <w:tcPr>
            <w:tcW w:type="dxa" w:w="3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cargo $10.00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BVA-M-05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Cargo mínimo del tramo 2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5.01 kg · NUEVO · ESTANDAR</w:t>
            </w:r>
          </w:p>
        </w:tc>
        <w:tc>
          <w:tcPr>
            <w:tcW w:type="dxa" w:w="3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cargo $20.04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BVA-M-06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Medio centavo exacto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0.01 kg · NUEVO · EXPRESS</w:t>
            </w:r>
          </w:p>
        </w:tc>
        <w:tc>
          <w:tcPr>
            <w:tcW w:type="dxa" w:w="3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recargo 1.255 → $1.26 (hacia arriba) · total $6.28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BVA-M-07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Debajo del medio centavo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0.01 kg · FRECUENTE · ESTANDAR</w:t>
            </w:r>
          </w:p>
        </w:tc>
        <w:tc>
          <w:tcPr>
            <w:tcW w:type="dxa" w:w="3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descuento 0.502 → $0.50 (hacia abajo) · total $4.52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BVA-M-08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Importe exacto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0.02 kg · NUEVO · EXPRESS</w:t>
            </w:r>
          </w:p>
        </w:tc>
        <w:tc>
          <w:tcPr>
            <w:tcW w:type="dxa" w:w="3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recargo $1.26 (sin redondeo) · total $6.30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</w:tbl>
    <w:p>
      <w:pPr>
        <w:pStyle w:val="Heading2"/>
        <w:keepNext/>
      </w:pPr>
      <w:r>
        <w:t xml:space="preserve">1.6 Particiones de equivalencia: Tipo de cliente y Tipo de envío</w:t>
      </w:r>
    </w:p>
    <w:p>
      <w:pPr>
        <w:spacing w:after="140" w:line="276"/>
        <w:jc w:val="both"/>
      </w:pPr>
      <w:r>
        <w:t xml:space="preserve">Un valor desconocido es un texto bien formado que incumple BR-03 o BR-04 (422); un campo ausente o con otro tipo de dato es una petición mal formada (400).</w:t>
      </w:r>
    </w:p>
    <w:p>
      <w:pPr>
        <w:keepNext/>
        <w:spacing w:after="80" w:before="120"/>
      </w:pPr>
      <w:r>
        <w:rPr>
          <w:b/>
          <w:bCs/>
          <w:sz w:val="19"/>
          <w:szCs w:val="19"/>
        </w:rPr>
        <w:t xml:space="preserve">Tabla 12. Clases de equivalencia de los campos categóricos</w:t>
      </w:r>
    </w:p>
    <w:tbl>
      <w:tblPr>
        <w:tblW w:type="dxa" w:w="936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50"/>
        <w:gridCol w:w="1200"/>
        <w:gridCol w:w="1700"/>
        <w:gridCol w:w="900"/>
        <w:gridCol w:w="1500"/>
        <w:gridCol w:w="2210"/>
        <w:gridCol w:w="900"/>
      </w:tblGrid>
      <w:tr>
        <w:trPr>
          <w:cantSplit/>
          <w:tblHeader/>
        </w:trPr>
        <w:tc>
          <w:tcPr>
            <w:tcW w:type="dxa" w:w="95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12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Campo</w:t>
            </w:r>
          </w:p>
        </w:tc>
        <w:tc>
          <w:tcPr>
            <w:tcW w:type="dxa" w:w="17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Clase</w:t>
            </w:r>
          </w:p>
        </w:tc>
        <w:tc>
          <w:tcPr>
            <w:tcW w:type="dxa" w:w="9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Tipo</w:t>
            </w:r>
          </w:p>
        </w:tc>
        <w:tc>
          <w:tcPr>
            <w:tcW w:type="dxa" w:w="15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Valor de prueba</w:t>
            </w:r>
          </w:p>
        </w:tc>
        <w:tc>
          <w:tcPr>
            <w:tcW w:type="dxa" w:w="221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Resultado esperado</w:t>
            </w:r>
          </w:p>
        </w:tc>
        <w:tc>
          <w:tcPr>
            <w:tcW w:type="dxa" w:w="9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Obtenido</w:t>
            </w:r>
          </w:p>
        </w:tc>
      </w:tr>
      <w:tr>
        <w:trPr>
          <w:cantSplit/>
        </w:trPr>
        <w:tc>
          <w:tcPr>
            <w:tcW w:type="dxa" w:w="9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EP-C-01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Tipo de cliente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Valor del dominio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Válida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NUEVO, FRECUENTE, VIP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200 (reglas R1–R6)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9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EP-C-02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Tipo de cliente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Valor desconocido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Inválida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GOLD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422 INVALID_CUSTOMER_TYPE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9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EP-C-03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Tipo de cliente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Distinto uso de mayúsculas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Inválida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vip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422 INVALID_CUSTOMER_TYPE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9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EP-C-04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Tipo de cliente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Ausente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Inválida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(ausente)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400 VALIDATION_ERROR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9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EP-C-05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Tipo de cliente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Tipo de dato incorrecto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Inválida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7 (número)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400 VALIDATION_ERROR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9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EP-E-01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Tipo de envío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Valor del dominio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Válida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ESTANDAR, EXPRESS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200 (reglas R1–R6)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9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EP-E-02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Tipo de envío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Valor desconocido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Inválida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422 INVALID_SHIPPING_TYPE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9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EP-E-03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Tipo de envío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Distinto uso de mayúsculas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Inválida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express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422 INVALID_SHIPPING_TYPE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9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EP-E-04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Tipo de envío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Ausente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Inválida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(ausente)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400 VALIDATION_ERROR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9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EP-E-05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Tipo de envío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Tipo de dato incorrecto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Inválida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true (booleano)</w:t>
            </w:r>
          </w:p>
        </w:tc>
        <w:tc>
          <w:tcPr>
            <w:tcW w:type="dxa" w:w="221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400 VALIDATION_ERROR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</w:tbl>
    <w:p>
      <w:pPr>
        <w:pStyle w:val="Heading2"/>
        <w:keepNext/>
      </w:pPr>
      <w:r>
        <w:t xml:space="preserve">1.7 Tabla de decisión: Tipo de Cliente + Tipo de Envío</w:t>
      </w:r>
    </w:p>
    <w:p>
      <w:pPr>
        <w:spacing w:after="140" w:line="276"/>
        <w:jc w:val="both"/>
      </w:pPr>
      <w:r>
        <w:t xml:space="preserve">El resultado depende de la combinación del tipo de cliente (BR-03) y del tipo de envío (BR-04), no de cada condición por separado, por lo que se usa una tabla de decisión (ISTQB, 2023): 3 × 2 = 6 reglas válidas. Se añade la condición de peso válido: cuando el peso supera el límite, el envío se rechaza con independencia del cliente y del envío, por lo que esa regla se reduce a una sola (R7) con condiciones indiferentes (—).</w:t>
      </w:r>
    </w:p>
    <w:p>
      <w:pPr>
        <w:keepNext/>
        <w:spacing w:after="80" w:before="120"/>
      </w:pPr>
      <w:r>
        <w:rPr>
          <w:b/>
          <w:bCs/>
          <w:sz w:val="19"/>
          <w:szCs w:val="19"/>
        </w:rPr>
        <w:t xml:space="preserve">Tabla 13. Tabla de decisión</w:t>
      </w:r>
    </w:p>
    <w:tbl>
      <w:tblPr>
        <w:tblW w:type="dxa" w:w="936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560"/>
        <w:gridCol w:w="970"/>
        <w:gridCol w:w="970"/>
        <w:gridCol w:w="970"/>
        <w:gridCol w:w="970"/>
        <w:gridCol w:w="970"/>
        <w:gridCol w:w="970"/>
        <w:gridCol w:w="980"/>
      </w:tblGrid>
      <w:tr>
        <w:trPr>
          <w:cantSplit/>
          <w:tblHeader/>
        </w:trPr>
        <w:tc>
          <w:tcPr>
            <w:tcW w:type="dxa" w:w="256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Condiciones / Acciones</w:t>
            </w:r>
          </w:p>
        </w:tc>
        <w:tc>
          <w:tcPr>
            <w:tcW w:type="dxa" w:w="97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R1</w:t>
            </w:r>
          </w:p>
        </w:tc>
        <w:tc>
          <w:tcPr>
            <w:tcW w:type="dxa" w:w="97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R2</w:t>
            </w:r>
          </w:p>
        </w:tc>
        <w:tc>
          <w:tcPr>
            <w:tcW w:type="dxa" w:w="97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R3</w:t>
            </w:r>
          </w:p>
        </w:tc>
        <w:tc>
          <w:tcPr>
            <w:tcW w:type="dxa" w:w="97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R4</w:t>
            </w:r>
          </w:p>
        </w:tc>
        <w:tc>
          <w:tcPr>
            <w:tcW w:type="dxa" w:w="97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R5</w:t>
            </w:r>
          </w:p>
        </w:tc>
        <w:tc>
          <w:tcPr>
            <w:tcW w:type="dxa" w:w="97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R6</w:t>
            </w:r>
          </w:p>
        </w:tc>
        <w:tc>
          <w:tcPr>
            <w:tcW w:type="dxa" w:w="98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R7</w:t>
            </w:r>
          </w:p>
        </w:tc>
      </w:tr>
      <w:tr>
        <w:trPr>
          <w:cantSplit/>
        </w:trPr>
        <w:tc>
          <w:tcPr>
            <w:tcW w:type="dxa" w:w="25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C1</w:t>
            </w:r>
            <w:r>
              <w:rPr>
                <w:b w:val="false"/>
                <w:bCs w:val="false"/>
                <w:sz w:val="16"/>
                <w:szCs w:val="16"/>
              </w:rPr>
              <w:t xml:space="preserve"> Peso entre 0.01 y 20.00 kg</w:t>
            </w:r>
          </w:p>
        </w:tc>
        <w:tc>
          <w:tcPr>
            <w:tcW w:type="dxa" w:w="9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S</w:t>
            </w:r>
          </w:p>
        </w:tc>
        <w:tc>
          <w:tcPr>
            <w:tcW w:type="dxa" w:w="9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S</w:t>
            </w:r>
          </w:p>
        </w:tc>
        <w:tc>
          <w:tcPr>
            <w:tcW w:type="dxa" w:w="9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S</w:t>
            </w:r>
          </w:p>
        </w:tc>
        <w:tc>
          <w:tcPr>
            <w:tcW w:type="dxa" w:w="9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S</w:t>
            </w:r>
          </w:p>
        </w:tc>
        <w:tc>
          <w:tcPr>
            <w:tcW w:type="dxa" w:w="9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S</w:t>
            </w:r>
          </w:p>
        </w:tc>
        <w:tc>
          <w:tcPr>
            <w:tcW w:type="dxa" w:w="9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S</w:t>
            </w:r>
          </w:p>
        </w:tc>
        <w:tc>
          <w:tcPr>
            <w:tcW w:type="dxa" w:w="98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N</w:t>
            </w:r>
          </w:p>
        </w:tc>
      </w:tr>
      <w:tr>
        <w:trPr>
          <w:cantSplit/>
        </w:trPr>
        <w:tc>
          <w:tcPr>
            <w:tcW w:type="dxa" w:w="25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C2</w:t>
            </w:r>
            <w:r>
              <w:rPr>
                <w:b w:val="false"/>
                <w:bCs w:val="false"/>
                <w:sz w:val="16"/>
                <w:szCs w:val="16"/>
              </w:rPr>
              <w:t xml:space="preserve"> Tipo de cliente</w:t>
            </w:r>
          </w:p>
        </w:tc>
        <w:tc>
          <w:tcPr>
            <w:tcW w:type="dxa" w:w="9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NUEVO</w:t>
            </w:r>
          </w:p>
        </w:tc>
        <w:tc>
          <w:tcPr>
            <w:tcW w:type="dxa" w:w="9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NUEVO</w:t>
            </w:r>
          </w:p>
        </w:tc>
        <w:tc>
          <w:tcPr>
            <w:tcW w:type="dxa" w:w="9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FRECU-</w:t>
            </w:r>
          </w:p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ENTE</w:t>
            </w:r>
          </w:p>
        </w:tc>
        <w:tc>
          <w:tcPr>
            <w:tcW w:type="dxa" w:w="9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FRECU-</w:t>
            </w:r>
          </w:p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ENTE</w:t>
            </w:r>
          </w:p>
        </w:tc>
        <w:tc>
          <w:tcPr>
            <w:tcW w:type="dxa" w:w="9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VIP</w:t>
            </w:r>
          </w:p>
        </w:tc>
        <w:tc>
          <w:tcPr>
            <w:tcW w:type="dxa" w:w="9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VIP</w:t>
            </w:r>
          </w:p>
        </w:tc>
        <w:tc>
          <w:tcPr>
            <w:tcW w:type="dxa" w:w="98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5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C3</w:t>
            </w:r>
            <w:r>
              <w:rPr>
                <w:b w:val="false"/>
                <w:bCs w:val="false"/>
                <w:sz w:val="16"/>
                <w:szCs w:val="16"/>
              </w:rPr>
              <w:t xml:space="preserve"> Tipo de envío</w:t>
            </w:r>
          </w:p>
        </w:tc>
        <w:tc>
          <w:tcPr>
            <w:tcW w:type="dxa" w:w="9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ESTÁN-</w:t>
            </w:r>
          </w:p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DAR</w:t>
            </w:r>
          </w:p>
        </w:tc>
        <w:tc>
          <w:tcPr>
            <w:tcW w:type="dxa" w:w="9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EXPRESS</w:t>
            </w:r>
          </w:p>
        </w:tc>
        <w:tc>
          <w:tcPr>
            <w:tcW w:type="dxa" w:w="9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ESTÁN-</w:t>
            </w:r>
          </w:p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DAR</w:t>
            </w:r>
          </w:p>
        </w:tc>
        <w:tc>
          <w:tcPr>
            <w:tcW w:type="dxa" w:w="9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EXPRESS</w:t>
            </w:r>
          </w:p>
        </w:tc>
        <w:tc>
          <w:tcPr>
            <w:tcW w:type="dxa" w:w="9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ESTÁN-</w:t>
            </w:r>
          </w:p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DAR</w:t>
            </w:r>
          </w:p>
        </w:tc>
        <w:tc>
          <w:tcPr>
            <w:tcW w:type="dxa" w:w="9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EXPRESS</w:t>
            </w:r>
          </w:p>
        </w:tc>
        <w:tc>
          <w:tcPr>
            <w:tcW w:type="dxa" w:w="98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5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A1</w:t>
            </w:r>
            <w:r>
              <w:rPr>
                <w:b w:val="false"/>
                <w:bCs w:val="false"/>
                <w:sz w:val="16"/>
                <w:szCs w:val="16"/>
              </w:rPr>
              <w:t xml:space="preserve"> Descuento sobre el subtotal</w:t>
            </w:r>
          </w:p>
        </w:tc>
        <w:tc>
          <w:tcPr>
            <w:tcW w:type="dxa" w:w="9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0 %</w:t>
            </w:r>
          </w:p>
        </w:tc>
        <w:tc>
          <w:tcPr>
            <w:tcW w:type="dxa" w:w="9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0 %</w:t>
            </w:r>
          </w:p>
        </w:tc>
        <w:tc>
          <w:tcPr>
            <w:tcW w:type="dxa" w:w="9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10 %</w:t>
            </w:r>
          </w:p>
        </w:tc>
        <w:tc>
          <w:tcPr>
            <w:tcW w:type="dxa" w:w="9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10 %</w:t>
            </w:r>
          </w:p>
        </w:tc>
        <w:tc>
          <w:tcPr>
            <w:tcW w:type="dxa" w:w="9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20 %</w:t>
            </w:r>
          </w:p>
        </w:tc>
        <w:tc>
          <w:tcPr>
            <w:tcW w:type="dxa" w:w="9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20 %</w:t>
            </w:r>
          </w:p>
        </w:tc>
        <w:tc>
          <w:tcPr>
            <w:tcW w:type="dxa" w:w="98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5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A2</w:t>
            </w:r>
            <w:r>
              <w:rPr>
                <w:b w:val="false"/>
                <w:bCs w:val="false"/>
                <w:sz w:val="16"/>
                <w:szCs w:val="16"/>
              </w:rPr>
              <w:t xml:space="preserve"> Recargo sobre el subtotal con descuento</w:t>
            </w:r>
          </w:p>
        </w:tc>
        <w:tc>
          <w:tcPr>
            <w:tcW w:type="dxa" w:w="9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0 %</w:t>
            </w:r>
          </w:p>
        </w:tc>
        <w:tc>
          <w:tcPr>
            <w:tcW w:type="dxa" w:w="9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25 %</w:t>
            </w:r>
          </w:p>
        </w:tc>
        <w:tc>
          <w:tcPr>
            <w:tcW w:type="dxa" w:w="9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0 %</w:t>
            </w:r>
          </w:p>
        </w:tc>
        <w:tc>
          <w:tcPr>
            <w:tcW w:type="dxa" w:w="9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25 %</w:t>
            </w:r>
          </w:p>
        </w:tc>
        <w:tc>
          <w:tcPr>
            <w:tcW w:type="dxa" w:w="9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0 %</w:t>
            </w:r>
          </w:p>
        </w:tc>
        <w:tc>
          <w:tcPr>
            <w:tcW w:type="dxa" w:w="9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25 %</w:t>
            </w:r>
          </w:p>
        </w:tc>
        <w:tc>
          <w:tcPr>
            <w:tcW w:type="dxa" w:w="98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5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A3</w:t>
            </w:r>
            <w:r>
              <w:rPr>
                <w:b w:val="false"/>
                <w:bCs w:val="false"/>
                <w:sz w:val="16"/>
                <w:szCs w:val="16"/>
              </w:rPr>
              <w:t xml:space="preserve"> Factor sobre el subtotal</w:t>
            </w:r>
          </w:p>
        </w:tc>
        <w:tc>
          <w:tcPr>
            <w:tcW w:type="dxa" w:w="9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× 1.00</w:t>
            </w:r>
          </w:p>
        </w:tc>
        <w:tc>
          <w:tcPr>
            <w:tcW w:type="dxa" w:w="9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× 1.25</w:t>
            </w:r>
          </w:p>
        </w:tc>
        <w:tc>
          <w:tcPr>
            <w:tcW w:type="dxa" w:w="9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× 0.90</w:t>
            </w:r>
          </w:p>
        </w:tc>
        <w:tc>
          <w:tcPr>
            <w:tcW w:type="dxa" w:w="9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× 1.125</w:t>
            </w:r>
          </w:p>
        </w:tc>
        <w:tc>
          <w:tcPr>
            <w:tcW w:type="dxa" w:w="9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× 0.80</w:t>
            </w:r>
          </w:p>
        </w:tc>
        <w:tc>
          <w:tcPr>
            <w:tcW w:type="dxa" w:w="9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× 1.00</w:t>
            </w:r>
          </w:p>
        </w:tc>
        <w:tc>
          <w:tcPr>
            <w:tcW w:type="dxa" w:w="98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5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A4</w:t>
            </w:r>
            <w:r>
              <w:rPr>
                <w:b w:val="false"/>
                <w:bCs w:val="false"/>
                <w:sz w:val="16"/>
                <w:szCs w:val="16"/>
              </w:rPr>
              <w:t xml:space="preserve"> Calcular el total</w:t>
            </w:r>
          </w:p>
        </w:tc>
        <w:tc>
          <w:tcPr>
            <w:tcW w:type="dxa" w:w="9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X</w:t>
            </w:r>
          </w:p>
        </w:tc>
        <w:tc>
          <w:tcPr>
            <w:tcW w:type="dxa" w:w="9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X</w:t>
            </w:r>
          </w:p>
        </w:tc>
        <w:tc>
          <w:tcPr>
            <w:tcW w:type="dxa" w:w="9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X</w:t>
            </w:r>
          </w:p>
        </w:tc>
        <w:tc>
          <w:tcPr>
            <w:tcW w:type="dxa" w:w="9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X</w:t>
            </w:r>
          </w:p>
        </w:tc>
        <w:tc>
          <w:tcPr>
            <w:tcW w:type="dxa" w:w="9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X</w:t>
            </w:r>
          </w:p>
        </w:tc>
        <w:tc>
          <w:tcPr>
            <w:tcW w:type="dxa" w:w="9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X</w:t>
            </w:r>
          </w:p>
        </w:tc>
        <w:tc>
          <w:tcPr>
            <w:tcW w:type="dxa" w:w="98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</w:trPr>
        <w:tc>
          <w:tcPr>
            <w:tcW w:type="dxa" w:w="25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A5</w:t>
            </w:r>
            <w:r>
              <w:rPr>
                <w:b w:val="false"/>
                <w:bCs w:val="false"/>
                <w:sz w:val="16"/>
                <w:szCs w:val="16"/>
              </w:rPr>
              <w:t xml:space="preserve"> Rechazar el envío (422)</w:t>
            </w:r>
          </w:p>
        </w:tc>
        <w:tc>
          <w:tcPr>
            <w:tcW w:type="dxa" w:w="9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9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9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9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9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9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98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X</w:t>
            </w:r>
          </w:p>
        </w:tc>
      </w:tr>
    </w:tbl>
    <w:p>
      <w:pPr>
        <w:spacing w:after="120"/>
      </w:pPr>
    </w:p>
    <w:p>
      <w:pPr>
        <w:keepNext/>
        <w:spacing w:after="140" w:line="276"/>
        <w:jc w:val="both"/>
      </w:pPr>
      <w:r>
        <w:t xml:space="preserve">Cada regla se prueba con un peso de referencia de 10 kg (subtotal $45.00 = $5.00 + 10 × $4.00):</w:t>
      </w:r>
    </w:p>
    <w:p>
      <w:pPr>
        <w:keepNext/>
        <w:spacing w:after="80" w:before="120"/>
      </w:pPr>
      <w:r>
        <w:rPr>
          <w:b/>
          <w:bCs/>
          <w:sz w:val="19"/>
          <w:szCs w:val="19"/>
        </w:rPr>
        <w:t xml:space="preserve">Tabla 14. Casos de prueba de la tabla de decisión</w:t>
      </w:r>
    </w:p>
    <w:tbl>
      <w:tblPr>
        <w:tblW w:type="dxa" w:w="936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700"/>
        <w:gridCol w:w="2560"/>
        <w:gridCol w:w="1000"/>
        <w:gridCol w:w="1100"/>
        <w:gridCol w:w="1100"/>
        <w:gridCol w:w="1700"/>
        <w:gridCol w:w="1200"/>
      </w:tblGrid>
      <w:tr>
        <w:trPr>
          <w:cantSplit/>
          <w:tblHeader/>
        </w:trPr>
        <w:tc>
          <w:tcPr>
            <w:tcW w:type="dxa" w:w="7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Regla</w:t>
            </w:r>
          </w:p>
        </w:tc>
        <w:tc>
          <w:tcPr>
            <w:tcW w:type="dxa" w:w="256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Entrada</w:t>
            </w:r>
          </w:p>
        </w:tc>
        <w:tc>
          <w:tcPr>
            <w:tcW w:type="dxa" w:w="10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Factor</w:t>
            </w:r>
          </w:p>
        </w:tc>
        <w:tc>
          <w:tcPr>
            <w:tcW w:type="dxa" w:w="11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Descuento</w:t>
            </w:r>
          </w:p>
        </w:tc>
        <w:tc>
          <w:tcPr>
            <w:tcW w:type="dxa" w:w="11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Recargo</w:t>
            </w:r>
          </w:p>
        </w:tc>
        <w:tc>
          <w:tcPr>
            <w:tcW w:type="dxa" w:w="17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Total esperado</w:t>
            </w:r>
          </w:p>
        </w:tc>
        <w:tc>
          <w:tcPr>
            <w:tcW w:type="dxa" w:w="12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Obtenido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R1</w:t>
            </w:r>
          </w:p>
        </w:tc>
        <w:tc>
          <w:tcPr>
            <w:tcW w:type="dxa" w:w="25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10 kg · NUEVO · ESTANDAR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× 1.00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$0.00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$0.00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$45.00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R2</w:t>
            </w:r>
          </w:p>
        </w:tc>
        <w:tc>
          <w:tcPr>
            <w:tcW w:type="dxa" w:w="25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10 kg · NUEVO · EXPRESS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× 1.25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$0.00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+$11.25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$56.25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R3</w:t>
            </w:r>
          </w:p>
        </w:tc>
        <w:tc>
          <w:tcPr>
            <w:tcW w:type="dxa" w:w="25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10 kg · FRECUENTE · ESTANDAR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× 0.90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−$4.50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$0.00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$40.50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R4</w:t>
            </w:r>
          </w:p>
        </w:tc>
        <w:tc>
          <w:tcPr>
            <w:tcW w:type="dxa" w:w="25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10 kg · FRECUENTE · EXPRESS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× 1.125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−$4.50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+$10.13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$50.63 (50.625)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R5</w:t>
            </w:r>
          </w:p>
        </w:tc>
        <w:tc>
          <w:tcPr>
            <w:tcW w:type="dxa" w:w="25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10 kg · VIP · ESTANDAR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× 0.80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−$9.00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$0.00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$36.00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R6</w:t>
            </w:r>
          </w:p>
        </w:tc>
        <w:tc>
          <w:tcPr>
            <w:tcW w:type="dxa" w:w="25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10 kg · VIP · EXPRESS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× 1.00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−$9.00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+$9.00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$45.00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R7</w:t>
            </w:r>
          </w:p>
        </w:tc>
        <w:tc>
          <w:tcPr>
            <w:tcW w:type="dxa" w:w="25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25 kg · las 6 combinaciones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422 (rechazo)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</w:tbl>
    <w:p>
      <w:pPr>
        <w:pStyle w:val="Heading2"/>
        <w:keepNext/>
      </w:pPr>
      <w:r>
        <w:t xml:space="preserve">1.8 Pruebas de caja negra en el Frontend</w:t>
      </w:r>
    </w:p>
    <w:p>
      <w:pPr>
        <w:pStyle w:val="Heading3"/>
        <w:keepNext/>
      </w:pPr>
      <w:r>
        <w:t xml:space="preserve">Validación en el cliente y en el servidor</w:t>
      </w:r>
    </w:p>
    <w:p>
      <w:pPr>
        <w:spacing w:after="140" w:line="276"/>
        <w:jc w:val="both"/>
      </w:pPr>
      <w:r>
        <w:t xml:space="preserve">La validación en la interfaz mejora la usabilidad, pero no es una medida de seguridad: cualquiera puede llamar a la API directamente (OWASP, 2024). Por eso el formulario valida el peso con los mismos límites de BR-02 (mínimo, máximo y 2 decimales), que obtiene de </w:t>
      </w:r>
      <w:r>
        <w:rPr>
          <w:rFonts w:ascii="Courier New" w:cs="Courier New" w:eastAsia="Courier New" w:hAnsi="Courier New"/>
          <w:sz w:val="20"/>
          <w:szCs w:val="20"/>
        </w:rPr>
        <w:t xml:space="preserve">GET /api/v1/pricing/rules</w:t>
      </w:r>
      <w:r>
        <w:t xml:space="preserve"> para no duplicarlos, y el backend vuelve a validar cada petición. Ambas capas usan el mismo mensaje. Si las reglas no se pueden cargar, el formulario solo valida el formato y muestra en el mismo lugar el mensaje del 422 del servidor.</w:t>
      </w:r>
    </w:p>
    <w:p>
      <w:pPr>
        <w:pStyle w:val="Heading3"/>
        <w:keepNext/>
      </w:pPr>
      <w:r>
        <w:t xml:space="preserve">Retroalimentación ante peso mayor que 20 kg</w:t>
      </w:r>
    </w:p>
    <w:p>
      <w:pPr>
        <w:spacing w:after="140" w:line="276"/>
        <w:jc w:val="both"/>
      </w:pPr>
      <w:r>
        <w:t xml:space="preserve">El mensaje sigue las heurísticas de Nielsen (2024) y el criterio 3.3.1 de WCAG 2.2 (W3C, 2023), como pide el marco teórico: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Qué pasó y cómo corregirlo</w:t>
      </w:r>
      <w:r>
        <w:t xml:space="preserve">, sin códigos técnicos: "El peso máximo permitido es 20 kg. Reduce el peso e inténtalo de nuevo."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Junto al campo Peso</w:t>
      </w:r>
      <w:r>
        <w:t xml:space="preserve">, con un icono de error y el subrayado del campo, de modo que el color no es la única señal. El campo se marca con </w:t>
      </w:r>
      <w:r>
        <w:rPr>
          <w:rFonts w:ascii="Courier New" w:cs="Courier New" w:eastAsia="Courier New" w:hAnsi="Courier New"/>
          <w:sz w:val="20"/>
          <w:szCs w:val="20"/>
        </w:rPr>
        <w:t xml:space="preserve">aria-invalid</w:t>
      </w:r>
      <w:r>
        <w:t xml:space="preserve">, el mensaje se asocia con </w:t>
      </w:r>
      <w:r>
        <w:rPr>
          <w:rFonts w:ascii="Courier New" w:cs="Courier New" w:eastAsia="Courier New" w:hAnsi="Courier New"/>
          <w:sz w:val="20"/>
          <w:szCs w:val="20"/>
        </w:rPr>
        <w:t xml:space="preserve">aria-describedby</w:t>
      </w:r>
      <w:r>
        <w:t xml:space="preserve"> y se anuncia desde una región </w:t>
      </w:r>
      <w:r>
        <w:rPr>
          <w:rFonts w:ascii="Courier New" w:cs="Courier New" w:eastAsia="Courier New" w:hAnsi="Courier New"/>
          <w:sz w:val="20"/>
          <w:szCs w:val="20"/>
        </w:rPr>
        <w:t xml:space="preserve">aria-live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Se conserva el valor escrito.</w:t>
      </w:r>
      <w:r>
        <w:t xml:space="preserve"> La cotización es automática (no hay botón "Cotizar"): mientras el peso sea inválido no se calcula tarifa ni se muestra el botón "Crear orden".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Mismo mensaje</w:t>
      </w:r>
      <w:r>
        <w:t xml:space="preserve"> cuando el rechazo lo detecta el cliente y cuando llega como 422 del servidor.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El mensaje aparece cuando el usuario deja de escribir, para no avisar de valores a medias (p. ej. "0" antes de completar "0.5").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210050" cy="2647950"/>
            <wp:effectExtent t="0" r="0" b="0" l="0"/>
            <wp:docPr id="1" name="ui-desktop.png" descr="ui-desktop.png" title="ui-deskto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/>
        <w:jc w:val="center"/>
      </w:pPr>
      <w:r>
        <w:rPr>
          <w:i/>
          <w:iCs/>
          <w:sz w:val="19"/>
          <w:szCs w:val="19"/>
        </w:rPr>
        <w:t xml:space="preserve">Figura 1. Mensaje junto al campo Peso al ingresar 25 kg (escritorio)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2286000" cy="3790950"/>
            <wp:effectExtent t="0" r="0" b="0" l="0"/>
            <wp:docPr id="2" name="ui-mobile.png" descr="ui-mobile.png" title="ui-mobi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/>
        <w:jc w:val="center"/>
      </w:pPr>
      <w:r>
        <w:rPr>
          <w:i/>
          <w:iCs/>
          <w:sz w:val="19"/>
          <w:szCs w:val="19"/>
        </w:rPr>
        <w:t xml:space="preserve">Figura 2. El mismo mensaje en la vista móvil</w:t>
      </w:r>
    </w:p>
    <w:p>
      <w:pPr>
        <w:keepNext/>
        <w:spacing w:after="140" w:line="276"/>
        <w:jc w:val="both"/>
      </w:pPr>
      <w:r>
        <w:t xml:space="preserve">La página del cotizador se prueba completa; solo se simula el servicio que llama al backend, de modo que la prueba observa entradas y salidas en pantalla:</w:t>
      </w:r>
    </w:p>
    <w:p>
      <w:pPr>
        <w:keepNext/>
        <w:spacing w:after="80" w:before="120"/>
      </w:pPr>
      <w:r>
        <w:rPr>
          <w:b/>
          <w:bCs/>
          <w:sz w:val="19"/>
          <w:szCs w:val="19"/>
        </w:rPr>
        <w:t xml:space="preserve">Tabla 15. Casos de prueba de la interfaz</w:t>
      </w:r>
    </w:p>
    <w:tbl>
      <w:tblPr>
        <w:tblW w:type="dxa" w:w="936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800"/>
        <w:gridCol w:w="2300"/>
        <w:gridCol w:w="1300"/>
        <w:gridCol w:w="3860"/>
        <w:gridCol w:w="1100"/>
      </w:tblGrid>
      <w:tr>
        <w:trPr>
          <w:cantSplit/>
          <w:tblHeader/>
        </w:trPr>
        <w:tc>
          <w:tcPr>
            <w:tcW w:type="dxa" w:w="8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type="dxa" w:w="23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Partición / acción</w:t>
            </w:r>
          </w:p>
        </w:tc>
        <w:tc>
          <w:tcPr>
            <w:tcW w:type="dxa" w:w="13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Entrada</w:t>
            </w:r>
          </w:p>
        </w:tc>
        <w:tc>
          <w:tcPr>
            <w:tcW w:type="dxa" w:w="386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Resultado esperado en pantalla</w:t>
            </w:r>
          </w:p>
        </w:tc>
        <w:tc>
          <w:tcPr>
            <w:tcW w:type="dxa" w:w="11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Obtenido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UI-01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Campo vacío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""</w:t>
            </w:r>
          </w:p>
        </w:tc>
        <w:tc>
          <w:tcPr>
            <w:tcW w:type="dxa" w:w="38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Estado inicial "Tu tarifa aparecerá aquí"; no se llama a la API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UI-02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Peso válido con coma decimal (P2)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"3,5"</w:t>
            </w:r>
          </w:p>
        </w:tc>
        <w:tc>
          <w:tcPr>
            <w:tcW w:type="dxa" w:w="38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"Total a pagar" con $12.00; la API recibe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5"/>
                <w:szCs w:val="15"/>
              </w:rPr>
              <w:t xml:space="preserve">weightKg</w:t>
            </w:r>
            <w:r>
              <w:rPr>
                <w:b w:val="false"/>
                <w:bCs w:val="false"/>
                <w:sz w:val="17"/>
                <w:szCs w:val="17"/>
              </w:rPr>
              <w:t xml:space="preserve"> = 3.5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UI-03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Valor no numérico (P5)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"abc"</w:t>
            </w:r>
          </w:p>
        </w:tc>
        <w:tc>
          <w:tcPr>
            <w:tcW w:type="dxa" w:w="38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Error en el campo (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5"/>
                <w:szCs w:val="15"/>
              </w:rPr>
              <w:t xml:space="preserve">aria-invalid</w:t>
            </w:r>
            <w:r>
              <w:rPr>
                <w:b w:val="false"/>
                <w:bCs w:val="false"/>
                <w:sz w:val="17"/>
                <w:szCs w:val="17"/>
              </w:rPr>
              <w:t xml:space="preserve">); no se llama a la API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UI-04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Peso mayor que 20 kg (P4), validado por el servidor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"25" sin reglas</w:t>
            </w:r>
          </w:p>
        </w:tc>
        <w:tc>
          <w:tcPr>
            <w:tcW w:type="dxa" w:w="38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Mensaje del 422 junto al campo; valor conservado; sin total ni "Crear orden"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UI-05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Peso no positivo (P1), validado por el servidor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"0" sin reglas</w:t>
            </w:r>
          </w:p>
        </w:tc>
        <w:tc>
          <w:tcPr>
            <w:tcW w:type="dxa" w:w="38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Mensaje del 422 junto al campo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UI-06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Cambio de combinación (R6)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10 kg · VIP · Express</w:t>
            </w:r>
          </w:p>
        </w:tc>
        <w:tc>
          <w:tcPr>
            <w:tcW w:type="dxa" w:w="38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Se vuelve a cotizar con VIP + EXPRESS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UI-07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Crear orden desde la cotización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10 kg · "Ana Pérez"</w:t>
            </w:r>
          </w:p>
        </w:tc>
        <w:tc>
          <w:tcPr>
            <w:tcW w:type="dxa" w:w="38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Exige el nombre; crea la orden, muestra el aviso "Orden #… creada" y abre su detalle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UI-08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Fallo al crear la orden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Error 500</w:t>
            </w:r>
          </w:p>
        </w:tc>
        <w:tc>
          <w:tcPr>
            <w:tcW w:type="dxa" w:w="38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Muestra el mensaje del servidor bajo el formulario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UI-09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Fallo de conexión al cotizar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Error de red</w:t>
            </w:r>
          </w:p>
        </w:tc>
        <w:tc>
          <w:tcPr>
            <w:tcW w:type="dxa" w:w="38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Panel de error; "Reintentar" vuelve a cotizar y muestra el total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UI-10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Cotización en curso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Respuesta pendiente</w:t>
            </w:r>
          </w:p>
        </w:tc>
        <w:tc>
          <w:tcPr>
            <w:tcW w:type="dxa" w:w="38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Indica "Calculando tarifa…"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UI-11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Efecto del cliente y del envío (BR-03, BR-04)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VIP · Express</w:t>
            </w:r>
          </w:p>
        </w:tc>
        <w:tc>
          <w:tcPr>
            <w:tcW w:type="dxa" w:w="38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"20% de descuento sobre el subtotal" y "+25% de recargo sobre el subtotal con descuento"; "Limpiar" restablece el formulario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UI-12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Tarifas vigentes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Reglas del backend</w:t>
            </w:r>
          </w:p>
        </w:tc>
        <w:tc>
          <w:tcPr>
            <w:tcW w:type="dxa" w:w="38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Muestra tarifa base, tramos, "No se admite" y recargos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UI-13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Tarifas no disponibles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Error al cargar reglas</w:t>
            </w:r>
          </w:p>
        </w:tc>
        <w:tc>
          <w:tcPr>
            <w:tcW w:type="dxa" w:w="38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Aviso "No se pudieron cargar las tarifas"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UI-14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Tarifas en carga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Respuesta pendiente</w:t>
            </w:r>
          </w:p>
        </w:tc>
        <w:tc>
          <w:tcPr>
            <w:tcW w:type="dxa" w:w="38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Indicador de progreso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UI-15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Resumen fuera de la vista (móvil)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Total calculado</w:t>
            </w:r>
          </w:p>
        </w:tc>
        <w:tc>
          <w:tcPr>
            <w:tcW w:type="dxa" w:w="38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Barra "Ver desglose" que desplaza hasta el resumen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UI-16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Peso mayor que 20 kg (P4), validado en el cliente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"25"</w:t>
            </w:r>
          </w:p>
        </w:tc>
        <w:tc>
          <w:tcPr>
            <w:tcW w:type="dxa" w:w="38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Mensaje junto al campo, en región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5"/>
                <w:szCs w:val="15"/>
              </w:rPr>
              <w:t xml:space="preserve">aria-live</w:t>
            </w:r>
            <w:r>
              <w:rPr>
                <w:b w:val="false"/>
                <w:bCs w:val="false"/>
                <w:sz w:val="17"/>
                <w:szCs w:val="17"/>
              </w:rPr>
              <w:t xml:space="preserve">; valor conservado; no se llama a la API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UI-17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Mínimo y decimales (P1, P6), validados en el cliente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"0" y "2,555"</w:t>
            </w:r>
          </w:p>
        </w:tc>
        <w:tc>
          <w:tcPr>
            <w:tcW w:type="dxa" w:w="38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El mismo mensaje que el backend; no se llama a la API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</w:tbl>
    <w:p>
      <w:pPr>
        <w:spacing w:after="120"/>
      </w:pPr>
    </w:p>
    <w:p>
      <w:pPr>
        <w:spacing w:after="140" w:line="276"/>
        <w:jc w:val="both"/>
      </w:pPr>
      <w:r>
        <w:t xml:space="preserve">Además, </w:t>
      </w:r>
      <w:r>
        <w:rPr>
          <w:rFonts w:ascii="Courier New" w:cs="Courier New" w:eastAsia="Courier New" w:hAnsi="Courier New"/>
          <w:sz w:val="20"/>
          <w:szCs w:val="20"/>
        </w:rPr>
        <w:t xml:space="preserve">frontend/src/viewmodels/weightInput.test.ts</w:t>
      </w:r>
      <w:r>
        <w:t xml:space="preserve"> (21 pruebas) cubre las particiones del campo en el cliente: vacío, números con punto o coma, valores como "5." o ".75", entradas inválidas como "abc", "-1", "1.2.3", "1e3" o "2 kg", y los límites 0, 0.01, 20, 20.01 y los pesos con 3 decimales.</w:t>
      </w:r>
    </w:p>
    <w:p>
      <w:r>
        <w:br w:type="page"/>
      </w:r>
    </w:p>
    <w:p>
      <w:pPr>
        <w:pStyle w:val="Heading1"/>
      </w:pPr>
      <w:r>
        <w:t xml:space="preserve">2. Plan de Pruebas de Caja Blanca (QA + Backend)</w:t>
      </w:r>
    </w:p>
    <w:p>
      <w:pPr>
        <w:pStyle w:val="Heading2"/>
        <w:keepNext/>
      </w:pPr>
      <w:r>
        <w:t xml:space="preserve">2.1 Función bajo prueba</w:t>
      </w:r>
    </w:p>
    <w:p>
      <w:pPr>
        <w:spacing w:after="140" w:line="276"/>
        <w:jc w:val="both"/>
      </w:pPr>
      <w:r>
        <w:t xml:space="preserve">El algoritmo principal de cálculo de la tarifa es </w:t>
      </w:r>
      <w:r>
        <w:rPr>
          <w:rFonts w:ascii="Courier New" w:cs="Courier New" w:eastAsia="Courier New" w:hAnsi="Courier New"/>
          <w:sz w:val="20"/>
          <w:szCs w:val="20"/>
        </w:rPr>
        <w:t xml:space="preserve">calculateShippingCost</w:t>
      </w:r>
      <w:r>
        <w:t xml:space="preserve"> (</w:t>
      </w:r>
      <w:r>
        <w:rPr>
          <w:rFonts w:ascii="Courier New" w:cs="Courier New" w:eastAsia="Courier New" w:hAnsi="Courier New"/>
          <w:sz w:val="20"/>
          <w:szCs w:val="20"/>
        </w:rPr>
        <w:t xml:space="preserve">backend/src/domain/pricing/calculate-shipping-cost.ts</w:t>
      </w:r>
      <w:r>
        <w:t xml:space="preserve">), junto con las funciones auxiliares que invoca: </w:t>
      </w:r>
      <w:r>
        <w:rPr>
          <w:rFonts w:ascii="Courier New" w:cs="Courier New" w:eastAsia="Courier New" w:hAnsi="Courier New"/>
          <w:sz w:val="20"/>
          <w:szCs w:val="20"/>
        </w:rPr>
        <w:t xml:space="preserve">toCentiKg</w:t>
      </w:r>
      <w:r>
        <w:t xml:space="preserve"> (validación y conversión del peso a centésimas de kg), </w:t>
      </w:r>
      <w:r>
        <w:rPr>
          <w:rFonts w:ascii="Courier New" w:cs="Courier New" w:eastAsia="Courier New" w:hAnsi="Courier New"/>
          <w:sz w:val="20"/>
          <w:szCs w:val="20"/>
        </w:rPr>
        <w:t xml:space="preserve">findWeightTier</w:t>
      </w:r>
      <w:r>
        <w:t xml:space="preserve"> (selección del tramo) y </w:t>
      </w:r>
      <w:r>
        <w:rPr>
          <w:rFonts w:ascii="Courier New" w:cs="Courier New" w:eastAsia="Courier New" w:hAnsi="Courier New"/>
          <w:sz w:val="20"/>
          <w:szCs w:val="20"/>
        </w:rPr>
        <w:t xml:space="preserve">percentOf</w:t>
      </w:r>
      <w:r>
        <w:t xml:space="preserve"> (porcentajes con redondeo). El siguiente fragmento, simplificado, indica el nodo del grafo que corresponde a cada sentencia.</w:t>
      </w:r>
    </w:p>
    <w:p>
      <w:pPr>
        <w:keepNext/>
        <w:pBdr>
          <w:top w:val="single" w:color="000000" w:sz="4" w:space="6"/>
          <w:left w:val="single" w:color="000000" w:sz="4" w:space="6"/>
          <w:bottom w:val="single" w:color="000000" w:sz="4" w:space="6"/>
          <w:right w:val="single" w:color="000000" w:sz="4" w:space="6"/>
        </w:pBdr>
        <w:spacing w:after="0" w:line="240"/>
        <w:ind w:left="140" w:right="140"/>
      </w:pPr>
      <w:r>
        <w:rPr>
          <w:rFonts w:ascii="Courier New" w:cs="Courier New" w:eastAsia="Courier New" w:hAnsi="Courier New"/>
          <w:sz w:val="16"/>
          <w:szCs w:val="16"/>
        </w:rPr>
        <w:t xml:space="preserve">export function calculateShippingCost(shipment, rules = PRICING_RULES) {</w:t>
      </w:r>
    </w:p>
    <w:p>
      <w:pPr>
        <w:keepNext/>
        <w:pBdr>
          <w:top w:val="single" w:color="000000" w:sz="4" w:space="6"/>
          <w:left w:val="single" w:color="000000" w:sz="4" w:space="6"/>
          <w:bottom w:val="single" w:color="000000" w:sz="4" w:space="6"/>
          <w:right w:val="single" w:color="000000" w:sz="4" w:space="6"/>
        </w:pBdr>
        <w:spacing w:after="0" w:line="240"/>
        <w:ind w:left="140" w:right="140"/>
      </w:pPr>
      <w:r>
        <w:rPr>
          <w:rFonts w:ascii="Courier New" w:cs="Courier New" w:eastAsia="Courier New" w:hAnsi="Courier New"/>
          <w:sz w:val="16"/>
          <w:szCs w:val="16"/>
        </w:rPr>
        <w:t xml:space="preserve">  const weightCentiKg = toCentiKg(shipment.weightKg);              // 1</w:t>
      </w:r>
    </w:p>
    <w:p>
      <w:pPr>
        <w:keepNext/>
        <w:pBdr>
          <w:top w:val="single" w:color="000000" w:sz="4" w:space="6"/>
          <w:left w:val="single" w:color="000000" w:sz="4" w:space="6"/>
          <w:bottom w:val="single" w:color="000000" w:sz="4" w:space="6"/>
          <w:right w:val="single" w:color="000000" w:sz="4" w:space="6"/>
        </w:pBdr>
        <w:spacing w:after="0" w:line="240"/>
        <w:ind w:left="140" w:right="140"/>
      </w:pPr>
      <w:r>
        <w:rPr>
          <w:rFonts w:ascii="Courier New" w:cs="Courier New" w:eastAsia="Courier New" w:hAnsi="Courier New"/>
          <w:sz w:val="16"/>
          <w:szCs w:val="16"/>
        </w:rPr>
        <w:t xml:space="preserve">  const weightTier = findWeightTier(weightKg, weightCentiKg, rules);</w:t>
      </w:r>
    </w:p>
    <w:p>
      <w:pPr>
        <w:keepNext/>
        <w:pBdr>
          <w:top w:val="single" w:color="000000" w:sz="4" w:space="6"/>
          <w:left w:val="single" w:color="000000" w:sz="4" w:space="6"/>
          <w:bottom w:val="single" w:color="000000" w:sz="4" w:space="6"/>
          <w:right w:val="single" w:color="000000" w:sz="4" w:space="6"/>
        </w:pBdr>
        <w:spacing w:after="0" w:line="240"/>
        <w:ind w:left="140" w:right="140"/>
      </w:pPr>
      <w:r>
        <w:rPr>
          <w:rFonts w:ascii="Courier New" w:cs="Courier New" w:eastAsia="Courier New" w:hAnsi="Courier New"/>
          <w:sz w:val="16"/>
          <w:szCs w:val="16"/>
        </w:rPr>
        <w:t xml:space="preserve">  const weightChargeCents = round(weightCentiKg * tier.ratePerKg / 100);</w:t>
      </w:r>
    </w:p>
    <w:p>
      <w:pPr>
        <w:keepNext/>
        <w:pBdr>
          <w:top w:val="single" w:color="000000" w:sz="4" w:space="6"/>
          <w:left w:val="single" w:color="000000" w:sz="4" w:space="6"/>
          <w:bottom w:val="single" w:color="000000" w:sz="4" w:space="6"/>
          <w:right w:val="single" w:color="000000" w:sz="4" w:space="6"/>
        </w:pBdr>
        <w:spacing w:after="0" w:line="240"/>
        <w:ind w:left="140" w:right="140"/>
      </w:pPr>
      <w:r>
        <w:rPr>
          <w:rFonts w:ascii="Courier New" w:cs="Courier New" w:eastAsia="Courier New" w:hAnsi="Courier New"/>
          <w:sz w:val="16"/>
          <w:szCs w:val="16"/>
        </w:rPr>
        <w:t xml:space="preserve">  const subtotalCents = rules.baseFeeCents + weightChargeCents;</w:t>
      </w:r>
    </w:p>
    <w:p>
      <w:pPr>
        <w:keepNext/>
        <w:pBdr>
          <w:top w:val="single" w:color="000000" w:sz="4" w:space="6"/>
          <w:left w:val="single" w:color="000000" w:sz="4" w:space="6"/>
          <w:bottom w:val="single" w:color="000000" w:sz="4" w:space="6"/>
          <w:right w:val="single" w:color="000000" w:sz="4" w:space="6"/>
        </w:pBdr>
        <w:spacing w:after="0" w:line="240"/>
        <w:ind w:left="140" w:right="140"/>
      </w:pPr>
      <w:r>
        <w:rPr>
          <w:rFonts w:ascii="Courier New" w:cs="Courier New" w:eastAsia="Courier New" w:hAnsi="Courier New"/>
          <w:sz w:val="16"/>
          <w:szCs w:val="16"/>
        </w:rPr>
        <w:t xml:space="preserve">  const discountCents = percentOf(subtotalCents, discount%[cliente]);</w:t>
      </w:r>
    </w:p>
    <w:p>
      <w:pPr>
        <w:keepNext/>
        <w:pBdr>
          <w:top w:val="single" w:color="000000" w:sz="4" w:space="6"/>
          <w:left w:val="single" w:color="000000" w:sz="4" w:space="6"/>
          <w:bottom w:val="single" w:color="000000" w:sz="4" w:space="6"/>
          <w:right w:val="single" w:color="000000" w:sz="4" w:space="6"/>
        </w:pBdr>
        <w:spacing w:after="0" w:line="240"/>
        <w:ind w:left="140" w:right="140"/>
      </w:pPr>
      <w:r>
        <w:rPr>
          <w:rFonts w:ascii="Courier New" w:cs="Courier New" w:eastAsia="Courier New" w:hAnsi="Courier New"/>
          <w:sz w:val="16"/>
          <w:szCs w:val="16"/>
        </w:rPr>
        <w:t xml:space="preserve">  const afterDiscount = subtotalCents - discountCents;</w:t>
      </w:r>
    </w:p>
    <w:p>
      <w:pPr>
        <w:keepNext/>
        <w:pBdr>
          <w:top w:val="single" w:color="000000" w:sz="4" w:space="6"/>
          <w:left w:val="single" w:color="000000" w:sz="4" w:space="6"/>
          <w:bottom w:val="single" w:color="000000" w:sz="4" w:space="6"/>
          <w:right w:val="single" w:color="000000" w:sz="4" w:space="6"/>
        </w:pBdr>
        <w:spacing w:after="0" w:line="240"/>
        <w:ind w:left="140" w:right="140"/>
      </w:pPr>
      <w:r>
        <w:rPr>
          <w:rFonts w:ascii="Courier New" w:cs="Courier New" w:eastAsia="Courier New" w:hAnsi="Courier New"/>
          <w:sz w:val="16"/>
          <w:szCs w:val="16"/>
        </w:rPr>
        <w:t xml:space="preserve">  const surchargeCents = percentOf(afterDiscount, surcharge%[envío]);</w:t>
      </w:r>
    </w:p>
    <w:p>
      <w:pPr>
        <w:keepNext/>
        <w:pBdr>
          <w:top w:val="single" w:color="000000" w:sz="4" w:space="6"/>
          <w:left w:val="single" w:color="000000" w:sz="4" w:space="6"/>
          <w:bottom w:val="single" w:color="000000" w:sz="4" w:space="6"/>
          <w:right w:val="single" w:color="000000" w:sz="4" w:space="6"/>
        </w:pBdr>
        <w:spacing w:after="0" w:line="240"/>
        <w:ind w:left="140" w:right="140"/>
      </w:pPr>
      <w:r>
        <w:rPr>
          <w:rFonts w:ascii="Courier New" w:cs="Courier New" w:eastAsia="Courier New" w:hAnsi="Courier New"/>
          <w:sz w:val="16"/>
          <w:szCs w:val="16"/>
        </w:rPr>
        <w:t xml:space="preserve">  return { ..., totalCents: afterDiscount + surchargeCents };   // 15</w:t>
      </w:r>
    </w:p>
    <w:p>
      <w:pPr>
        <w:keepNext/>
        <w:pBdr>
          <w:top w:val="single" w:color="000000" w:sz="4" w:space="6"/>
          <w:left w:val="single" w:color="000000" w:sz="4" w:space="6"/>
          <w:bottom w:val="single" w:color="000000" w:sz="4" w:space="6"/>
          <w:right w:val="single" w:color="000000" w:sz="4" w:space="6"/>
        </w:pBdr>
        <w:spacing w:after="0" w:line="240"/>
        <w:ind w:left="140" w:right="140"/>
      </w:pPr>
      <w:r>
        <w:rPr>
          <w:rFonts w:ascii="Courier New" w:cs="Courier New" w:eastAsia="Courier New" w:hAnsi="Courier New"/>
          <w:sz w:val="16"/>
          <w:szCs w:val="16"/>
        </w:rPr>
        <w:t xml:space="preserve">}                                                                  // 16</w:t>
      </w:r>
    </w:p>
    <w:p>
      <w:pPr>
        <w:keepNext/>
        <w:pBdr>
          <w:top w:val="single" w:color="000000" w:sz="4" w:space="6"/>
          <w:left w:val="single" w:color="000000" w:sz="4" w:space="6"/>
          <w:bottom w:val="single" w:color="000000" w:sz="4" w:space="6"/>
          <w:right w:val="single" w:color="000000" w:sz="4" w:space="6"/>
        </w:pBdr>
        <w:spacing w:after="0" w:line="240"/>
        <w:ind w:left="140" w:right="1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000000" w:sz="4" w:space="6"/>
          <w:left w:val="single" w:color="000000" w:sz="4" w:space="6"/>
          <w:bottom w:val="single" w:color="000000" w:sz="4" w:space="6"/>
          <w:right w:val="single" w:color="000000" w:sz="4" w:space="6"/>
        </w:pBdr>
        <w:spacing w:after="0" w:line="240"/>
        <w:ind w:left="140" w:right="140"/>
      </w:pPr>
      <w:r>
        <w:rPr>
          <w:rFonts w:ascii="Courier New" w:cs="Courier New" w:eastAsia="Courier New" w:hAnsi="Courier New"/>
          <w:sz w:val="16"/>
          <w:szCs w:val="16"/>
        </w:rPr>
        <w:t xml:space="preserve">function toCentiKg(weightKg) {</w:t>
      </w:r>
    </w:p>
    <w:p>
      <w:pPr>
        <w:keepNext/>
        <w:pBdr>
          <w:top w:val="single" w:color="000000" w:sz="4" w:space="6"/>
          <w:left w:val="single" w:color="000000" w:sz="4" w:space="6"/>
          <w:bottom w:val="single" w:color="000000" w:sz="4" w:space="6"/>
          <w:right w:val="single" w:color="000000" w:sz="4" w:space="6"/>
        </w:pBdr>
        <w:spacing w:after="0" w:line="240"/>
        <w:ind w:left="140" w:right="140"/>
      </w:pPr>
      <w:r>
        <w:rPr>
          <w:rFonts w:ascii="Courier New" w:cs="Courier New" w:eastAsia="Courier New" w:hAnsi="Courier New"/>
          <w:sz w:val="16"/>
          <w:szCs w:val="16"/>
        </w:rPr>
        <w:t xml:space="preserve">  if (!Number.isFinite(weightKg))                                  // 2  D1</w:t>
      </w:r>
    </w:p>
    <w:p>
      <w:pPr>
        <w:keepNext/>
        <w:pBdr>
          <w:top w:val="single" w:color="000000" w:sz="4" w:space="6"/>
          <w:left w:val="single" w:color="000000" w:sz="4" w:space="6"/>
          <w:bottom w:val="single" w:color="000000" w:sz="4" w:space="6"/>
          <w:right w:val="single" w:color="000000" w:sz="4" w:space="6"/>
        </w:pBdr>
        <w:spacing w:after="0" w:line="240"/>
        <w:ind w:left="140" w:right="140"/>
      </w:pPr>
      <w:r>
        <w:rPr>
          <w:rFonts w:ascii="Courier New" w:cs="Courier New" w:eastAsia="Courier New" w:hAnsi="Courier New"/>
          <w:sz w:val="16"/>
          <w:szCs w:val="16"/>
        </w:rPr>
        <w:t xml:space="preserve">    throw new InvalidWeightError("...número válido.");             // 3</w:t>
      </w:r>
    </w:p>
    <w:p>
      <w:pPr>
        <w:keepNext/>
        <w:pBdr>
          <w:top w:val="single" w:color="000000" w:sz="4" w:space="6"/>
          <w:left w:val="single" w:color="000000" w:sz="4" w:space="6"/>
          <w:bottom w:val="single" w:color="000000" w:sz="4" w:space="6"/>
          <w:right w:val="single" w:color="000000" w:sz="4" w:space="6"/>
        </w:pBdr>
        <w:spacing w:after="0" w:line="240"/>
        <w:ind w:left="140" w:right="140"/>
      </w:pPr>
      <w:r>
        <w:rPr>
          <w:rFonts w:ascii="Courier New" w:cs="Courier New" w:eastAsia="Courier New" w:hAnsi="Courier New"/>
          <w:sz w:val="16"/>
          <w:szCs w:val="16"/>
        </w:rPr>
        <w:t xml:space="preserve">  const centiKg = Math.round(weightKg * 100);</w:t>
      </w:r>
    </w:p>
    <w:p>
      <w:pPr>
        <w:keepNext/>
        <w:pBdr>
          <w:top w:val="single" w:color="000000" w:sz="4" w:space="6"/>
          <w:left w:val="single" w:color="000000" w:sz="4" w:space="6"/>
          <w:bottom w:val="single" w:color="000000" w:sz="4" w:space="6"/>
          <w:right w:val="single" w:color="000000" w:sz="4" w:space="6"/>
        </w:pBdr>
        <w:spacing w:after="0" w:line="240"/>
        <w:ind w:left="140" w:right="140"/>
      </w:pPr>
      <w:r>
        <w:rPr>
          <w:rFonts w:ascii="Courier New" w:cs="Courier New" w:eastAsia="Courier New" w:hAnsi="Courier New"/>
          <w:sz w:val="16"/>
          <w:szCs w:val="16"/>
        </w:rPr>
        <w:t xml:space="preserve">  if (Math.abs(weightKg * 100 - centiKg) &gt; 1e-6)                   // 4  D2</w:t>
      </w:r>
    </w:p>
    <w:p>
      <w:pPr>
        <w:keepNext/>
        <w:pBdr>
          <w:top w:val="single" w:color="000000" w:sz="4" w:space="6"/>
          <w:left w:val="single" w:color="000000" w:sz="4" w:space="6"/>
          <w:bottom w:val="single" w:color="000000" w:sz="4" w:space="6"/>
          <w:right w:val="single" w:color="000000" w:sz="4" w:space="6"/>
        </w:pBdr>
        <w:spacing w:after="0" w:line="240"/>
        <w:ind w:left="140" w:right="140"/>
      </w:pPr>
      <w:r>
        <w:rPr>
          <w:rFonts w:ascii="Courier New" w:cs="Courier New" w:eastAsia="Courier New" w:hAnsi="Courier New"/>
          <w:sz w:val="16"/>
          <w:szCs w:val="16"/>
        </w:rPr>
        <w:t xml:space="preserve">    throw new InvalidWeightError("...máximo 2 decimales.");        // 5</w:t>
      </w:r>
    </w:p>
    <w:p>
      <w:pPr>
        <w:keepNext/>
        <w:pBdr>
          <w:top w:val="single" w:color="000000" w:sz="4" w:space="6"/>
          <w:left w:val="single" w:color="000000" w:sz="4" w:space="6"/>
          <w:bottom w:val="single" w:color="000000" w:sz="4" w:space="6"/>
          <w:right w:val="single" w:color="000000" w:sz="4" w:space="6"/>
        </w:pBdr>
        <w:spacing w:after="0" w:line="240"/>
        <w:ind w:left="140" w:right="140"/>
      </w:pPr>
      <w:r>
        <w:rPr>
          <w:rFonts w:ascii="Courier New" w:cs="Courier New" w:eastAsia="Courier New" w:hAnsi="Courier New"/>
          <w:sz w:val="16"/>
          <w:szCs w:val="16"/>
        </w:rPr>
        <w:t xml:space="preserve">  return centiKg;</w:t>
      </w:r>
    </w:p>
    <w:p>
      <w:pPr>
        <w:keepNext/>
        <w:pBdr>
          <w:top w:val="single" w:color="000000" w:sz="4" w:space="6"/>
          <w:left w:val="single" w:color="000000" w:sz="4" w:space="6"/>
          <w:bottom w:val="single" w:color="000000" w:sz="4" w:space="6"/>
          <w:right w:val="single" w:color="000000" w:sz="4" w:space="6"/>
        </w:pBdr>
        <w:spacing w:after="0" w:line="240"/>
        <w:ind w:left="140" w:right="140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/>
        <w:pBdr>
          <w:top w:val="single" w:color="000000" w:sz="4" w:space="6"/>
          <w:left w:val="single" w:color="000000" w:sz="4" w:space="6"/>
          <w:bottom w:val="single" w:color="000000" w:sz="4" w:space="6"/>
          <w:right w:val="single" w:color="000000" w:sz="4" w:space="6"/>
        </w:pBdr>
        <w:spacing w:after="0" w:line="240"/>
        <w:ind w:left="140" w:right="1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000000" w:sz="4" w:space="6"/>
          <w:left w:val="single" w:color="000000" w:sz="4" w:space="6"/>
          <w:bottom w:val="single" w:color="000000" w:sz="4" w:space="6"/>
          <w:right w:val="single" w:color="000000" w:sz="4" w:space="6"/>
        </w:pBdr>
        <w:spacing w:after="0" w:line="240"/>
        <w:ind w:left="140" w:right="140"/>
      </w:pPr>
      <w:r>
        <w:rPr>
          <w:rFonts w:ascii="Courier New" w:cs="Courier New" w:eastAsia="Courier New" w:hAnsi="Courier New"/>
          <w:sz w:val="16"/>
          <w:szCs w:val="16"/>
        </w:rPr>
        <w:t xml:space="preserve">function findWeightTier(weightKg, weightCentiKg, rules) {</w:t>
      </w:r>
    </w:p>
    <w:p>
      <w:pPr>
        <w:keepNext/>
        <w:pBdr>
          <w:top w:val="single" w:color="000000" w:sz="4" w:space="6"/>
          <w:left w:val="single" w:color="000000" w:sz="4" w:space="6"/>
          <w:bottom w:val="single" w:color="000000" w:sz="4" w:space="6"/>
          <w:right w:val="single" w:color="000000" w:sz="4" w:space="6"/>
        </w:pBdr>
        <w:spacing w:after="0" w:line="240"/>
        <w:ind w:left="140" w:right="140"/>
      </w:pPr>
      <w:r>
        <w:rPr>
          <w:rFonts w:ascii="Courier New" w:cs="Courier New" w:eastAsia="Courier New" w:hAnsi="Courier New"/>
          <w:sz w:val="16"/>
          <w:szCs w:val="16"/>
        </w:rPr>
        <w:t xml:space="preserve">  if (weightCentiKg &lt; toCentiKg(minWeightKg(rules)))               // 6  D3</w:t>
      </w:r>
    </w:p>
    <w:p>
      <w:pPr>
        <w:keepNext/>
        <w:pBdr>
          <w:top w:val="single" w:color="000000" w:sz="4" w:space="6"/>
          <w:left w:val="single" w:color="000000" w:sz="4" w:space="6"/>
          <w:bottom w:val="single" w:color="000000" w:sz="4" w:space="6"/>
          <w:right w:val="single" w:color="000000" w:sz="4" w:space="6"/>
        </w:pBdr>
        <w:spacing w:after="0" w:line="240"/>
        <w:ind w:left="140" w:right="140"/>
      </w:pPr>
      <w:r>
        <w:rPr>
          <w:rFonts w:ascii="Courier New" w:cs="Courier New" w:eastAsia="Courier New" w:hAnsi="Courier New"/>
          <w:sz w:val="16"/>
          <w:szCs w:val="16"/>
        </w:rPr>
        <w:t xml:space="preserve">    throw new InvalidWeightError("El peso mínimo es 0.01 kg.");    // 7</w:t>
      </w:r>
    </w:p>
    <w:p>
      <w:pPr>
        <w:keepNext/>
        <w:pBdr>
          <w:top w:val="single" w:color="000000" w:sz="4" w:space="6"/>
          <w:left w:val="single" w:color="000000" w:sz="4" w:space="6"/>
          <w:bottom w:val="single" w:color="000000" w:sz="4" w:space="6"/>
          <w:right w:val="single" w:color="000000" w:sz="4" w:space="6"/>
        </w:pBdr>
        <w:spacing w:after="0" w:line="240"/>
        <w:ind w:left="140" w:right="140"/>
      </w:pPr>
      <w:r>
        <w:rPr>
          <w:rFonts w:ascii="Courier New" w:cs="Courier New" w:eastAsia="Courier New" w:hAnsi="Courier New"/>
          <w:sz w:val="16"/>
          <w:szCs w:val="16"/>
        </w:rPr>
        <w:t xml:space="preserve">  if (weightCentiKg &gt; toCentiKg(maxWeightKg(rules)))               // 8  D4</w:t>
      </w:r>
    </w:p>
    <w:p>
      <w:pPr>
        <w:keepNext/>
        <w:pBdr>
          <w:top w:val="single" w:color="000000" w:sz="4" w:space="6"/>
          <w:left w:val="single" w:color="000000" w:sz="4" w:space="6"/>
          <w:bottom w:val="single" w:color="000000" w:sz="4" w:space="6"/>
          <w:right w:val="single" w:color="000000" w:sz="4" w:space="6"/>
        </w:pBdr>
        <w:spacing w:after="0" w:line="240"/>
        <w:ind w:left="140" w:right="140"/>
      </w:pPr>
      <w:r>
        <w:rPr>
          <w:rFonts w:ascii="Courier New" w:cs="Courier New" w:eastAsia="Courier New" w:hAnsi="Courier New"/>
          <w:sz w:val="16"/>
          <w:szCs w:val="16"/>
        </w:rPr>
        <w:t xml:space="preserve">    throw new WeightLimitExceededError(weightKg, max);             // 9</w:t>
      </w:r>
    </w:p>
    <w:p>
      <w:pPr>
        <w:keepNext/>
        <w:pBdr>
          <w:top w:val="single" w:color="000000" w:sz="4" w:space="6"/>
          <w:left w:val="single" w:color="000000" w:sz="4" w:space="6"/>
          <w:bottom w:val="single" w:color="000000" w:sz="4" w:space="6"/>
          <w:right w:val="single" w:color="000000" w:sz="4" w:space="6"/>
        </w:pBdr>
        <w:spacing w:after="0" w:line="240"/>
        <w:ind w:left="140" w:right="140"/>
      </w:pPr>
      <w:r>
        <w:rPr>
          <w:rFonts w:ascii="Courier New" w:cs="Courier New" w:eastAsia="Courier New" w:hAnsi="Courier New"/>
          <w:sz w:val="16"/>
          <w:szCs w:val="16"/>
        </w:rPr>
        <w:t xml:space="preserve">  const tier = rules.weightTiers.find((t) =&gt;                       // 10 D5 / 12</w:t>
      </w:r>
    </w:p>
    <w:p>
      <w:pPr>
        <w:keepNext/>
        <w:pBdr>
          <w:top w:val="single" w:color="000000" w:sz="4" w:space="6"/>
          <w:left w:val="single" w:color="000000" w:sz="4" w:space="6"/>
          <w:bottom w:val="single" w:color="000000" w:sz="4" w:space="6"/>
          <w:right w:val="single" w:color="000000" w:sz="4" w:space="6"/>
        </w:pBdr>
        <w:spacing w:after="0" w:line="240"/>
        <w:ind w:left="140" w:right="140"/>
      </w:pPr>
      <w:r>
        <w:rPr>
          <w:rFonts w:ascii="Courier New" w:cs="Courier New" w:eastAsia="Courier New" w:hAnsi="Courier New"/>
          <w:sz w:val="16"/>
          <w:szCs w:val="16"/>
        </w:rPr>
        <w:t xml:space="preserve">    weightCentiKg &gt;= toCentiKg(t.minKg) &amp;&amp;                         // 11 D6</w:t>
      </w:r>
    </w:p>
    <w:p>
      <w:pPr>
        <w:keepNext/>
        <w:pBdr>
          <w:top w:val="single" w:color="000000" w:sz="4" w:space="6"/>
          <w:left w:val="single" w:color="000000" w:sz="4" w:space="6"/>
          <w:bottom w:val="single" w:color="000000" w:sz="4" w:space="6"/>
          <w:right w:val="single" w:color="000000" w:sz="4" w:space="6"/>
        </w:pBdr>
        <w:spacing w:after="0" w:line="240"/>
        <w:ind w:left="140" w:right="140"/>
      </w:pPr>
      <w:r>
        <w:rPr>
          <w:rFonts w:ascii="Courier New" w:cs="Courier New" w:eastAsia="Courier New" w:hAnsi="Courier New"/>
          <w:sz w:val="16"/>
          <w:szCs w:val="16"/>
        </w:rPr>
        <w:t xml:space="preserve">    weightCentiKg &lt;= toCentiKg(t.maxKg));</w:t>
      </w:r>
    </w:p>
    <w:p>
      <w:pPr>
        <w:keepNext/>
        <w:pBdr>
          <w:top w:val="single" w:color="000000" w:sz="4" w:space="6"/>
          <w:left w:val="single" w:color="000000" w:sz="4" w:space="6"/>
          <w:bottom w:val="single" w:color="000000" w:sz="4" w:space="6"/>
          <w:right w:val="single" w:color="000000" w:sz="4" w:space="6"/>
        </w:pBdr>
        <w:spacing w:after="0" w:line="240"/>
        <w:ind w:left="140" w:right="140"/>
      </w:pPr>
      <w:r>
        <w:rPr>
          <w:rFonts w:ascii="Courier New" w:cs="Courier New" w:eastAsia="Courier New" w:hAnsi="Courier New"/>
          <w:sz w:val="16"/>
          <w:szCs w:val="16"/>
        </w:rPr>
        <w:t xml:space="preserve">  if (!tier)                                                       // 13 D7</w:t>
      </w:r>
    </w:p>
    <w:p>
      <w:pPr>
        <w:keepNext/>
        <w:pBdr>
          <w:top w:val="single" w:color="000000" w:sz="4" w:space="6"/>
          <w:left w:val="single" w:color="000000" w:sz="4" w:space="6"/>
          <w:bottom w:val="single" w:color="000000" w:sz="4" w:space="6"/>
          <w:right w:val="single" w:color="000000" w:sz="4" w:space="6"/>
        </w:pBdr>
        <w:spacing w:after="0" w:line="240"/>
        <w:ind w:left="140" w:right="140"/>
      </w:pPr>
      <w:r>
        <w:rPr>
          <w:rFonts w:ascii="Courier New" w:cs="Courier New" w:eastAsia="Courier New" w:hAnsi="Courier New"/>
          <w:sz w:val="16"/>
          <w:szCs w:val="16"/>
        </w:rPr>
        <w:t xml:space="preserve">    throw new Error("No hay un tramo de peso configurado...");     // 14</w:t>
      </w:r>
    </w:p>
    <w:p>
      <w:pPr>
        <w:keepNext/>
        <w:pBdr>
          <w:top w:val="single" w:color="000000" w:sz="4" w:space="6"/>
          <w:left w:val="single" w:color="000000" w:sz="4" w:space="6"/>
          <w:bottom w:val="single" w:color="000000" w:sz="4" w:space="6"/>
          <w:right w:val="single" w:color="000000" w:sz="4" w:space="6"/>
        </w:pBdr>
        <w:spacing w:after="0" w:line="240"/>
        <w:ind w:left="140" w:right="140"/>
      </w:pPr>
      <w:r>
        <w:rPr>
          <w:rFonts w:ascii="Courier New" w:cs="Courier New" w:eastAsia="Courier New" w:hAnsi="Courier New"/>
          <w:sz w:val="16"/>
          <w:szCs w:val="16"/>
        </w:rPr>
        <w:t xml:space="preserve">  return tier;</w:t>
      </w:r>
    </w:p>
    <w:p>
      <w:pPr>
        <w:keepNext w:val="false"/>
        <w:pBdr>
          <w:top w:val="single" w:color="000000" w:sz="4" w:space="6"/>
          <w:left w:val="single" w:color="000000" w:sz="4" w:space="6"/>
          <w:bottom w:val="single" w:color="000000" w:sz="4" w:space="6"/>
          <w:right w:val="single" w:color="000000" w:sz="4" w:space="6"/>
        </w:pBdr>
        <w:spacing w:after="0" w:line="240"/>
        <w:ind w:left="140" w:right="140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spacing w:after="120"/>
      </w:pPr>
    </w:p>
    <w:p>
      <w:pPr>
        <w:spacing w:after="140" w:line="276"/>
        <w:jc w:val="both"/>
      </w:pPr>
      <w:r>
        <w:t xml:space="preserve">Las llamadas a </w:t>
      </w:r>
      <w:r>
        <w:rPr>
          <w:rFonts w:ascii="Courier New" w:cs="Courier New" w:eastAsia="Courier New" w:hAnsi="Courier New"/>
          <w:sz w:val="20"/>
          <w:szCs w:val="20"/>
        </w:rPr>
        <w:t xml:space="preserve">toCentiKg</w:t>
      </w:r>
      <w:r>
        <w:t xml:space="preserve"> sobre los límites de la configuración (nodos 6, 8 y 11) operan sobre constantes válidas y se modelan como sentencias simples. La búsqueda con </w:t>
      </w:r>
      <w:r>
        <w:rPr>
          <w:rFonts w:ascii="Courier New" w:cs="Courier New" w:eastAsia="Courier New" w:hAnsi="Courier New"/>
          <w:sz w:val="20"/>
          <w:szCs w:val="20"/>
        </w:rPr>
        <w:t xml:space="preserve">Array.prototype.find</w:t>
      </w:r>
      <w:r>
        <w:t xml:space="preserve"> se modela como el bucle que recorre los tramos (nodos 10, 11 y 12).</w:t>
      </w:r>
    </w:p>
    <w:p>
      <w:pPr>
        <w:pStyle w:val="Heading2"/>
        <w:keepNext/>
      </w:pPr>
      <w:r>
        <w:t xml:space="preserve">2.2 Grafo de Flujo de Control (CFG)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3429000" cy="6677025"/>
            <wp:effectExtent t="0" r="0" b="0" l="0"/>
            <wp:docPr id="3" name="cfg.png" descr="cfg.png" title="cf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667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/>
        <w:jc w:val="center"/>
      </w:pPr>
      <w:r>
        <w:rPr>
          <w:i/>
          <w:iCs/>
          <w:sz w:val="19"/>
          <w:szCs w:val="19"/>
        </w:rPr>
        <w:t xml:space="preserve">Figura 3. Grafo de flujo de control de calculateShippingCost (incluye toCentiKg y findWeightTier)</w:t>
      </w:r>
    </w:p>
    <w:p>
      <w:pPr>
        <w:spacing w:after="140" w:line="276"/>
        <w:jc w:val="both"/>
      </w:pPr>
      <w:r>
        <w:t xml:space="preserve">Las salidas por excepción (nodos 3, 5, 7, 9 y 14) se unen al nodo 16 para obtener un grafo con una única entrada y una única salida.</w:t>
      </w:r>
    </w:p>
    <w:p>
      <w:pPr>
        <w:keepNext/>
        <w:spacing w:after="80" w:before="120"/>
      </w:pPr>
      <w:r>
        <w:rPr>
          <w:b/>
          <w:bCs/>
          <w:sz w:val="19"/>
          <w:szCs w:val="19"/>
        </w:rPr>
        <w:t xml:space="preserve">Tabla 16. Nodos del grafo</w:t>
      </w:r>
    </w:p>
    <w:tbl>
      <w:tblPr>
        <w:tblW w:type="dxa" w:w="936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800"/>
        <w:gridCol w:w="1700"/>
        <w:gridCol w:w="6860"/>
      </w:tblGrid>
      <w:tr>
        <w:trPr>
          <w:cantSplit/>
          <w:tblHeader/>
        </w:trPr>
        <w:tc>
          <w:tcPr>
            <w:tcW w:type="dxa" w:w="8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Nodo</w:t>
            </w:r>
          </w:p>
        </w:tc>
        <w:tc>
          <w:tcPr>
            <w:tcW w:type="dxa" w:w="17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Tipo</w:t>
            </w:r>
          </w:p>
        </w:tc>
        <w:tc>
          <w:tcPr>
            <w:tcW w:type="dxa" w:w="686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Código / acción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Proceso</w:t>
            </w:r>
          </w:p>
        </w:tc>
        <w:tc>
          <w:tcPr>
            <w:tcW w:type="dxa" w:w="68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Inicio: recibe el envío y las reglas; invoca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5"/>
                <w:szCs w:val="15"/>
              </w:rPr>
              <w:t xml:space="preserve">toCentiKg(peso)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Predicado D1</w:t>
            </w:r>
          </w:p>
        </w:tc>
        <w:tc>
          <w:tcPr>
            <w:tcW w:type="dxa" w:w="68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5"/>
                <w:szCs w:val="15"/>
              </w:rPr>
              <w:t xml:space="preserve">!Number.isFinite(weightKg)</w:t>
            </w:r>
            <w:r>
              <w:rPr>
                <w:b w:val="false"/>
                <w:bCs w:val="false"/>
                <w:sz w:val="17"/>
                <w:szCs w:val="17"/>
              </w:rPr>
              <w:t xml:space="preserve">: ¿el peso no es un número finito?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Proceso</w:t>
            </w:r>
          </w:p>
        </w:tc>
        <w:tc>
          <w:tcPr>
            <w:tcW w:type="dxa" w:w="68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5"/>
                <w:szCs w:val="15"/>
              </w:rPr>
              <w:t xml:space="preserve">throw InvalidWeightError("El peso debe ser un número válido.")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Predicado D2</w:t>
            </w:r>
          </w:p>
        </w:tc>
        <w:tc>
          <w:tcPr>
            <w:tcW w:type="dxa" w:w="68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5"/>
                <w:szCs w:val="15"/>
              </w:rPr>
              <w:t xml:space="preserve">Math.abs(weightKg * 100 − centiKg) &gt; 1e-6</w:t>
            </w:r>
            <w:r>
              <w:rPr>
                <w:b w:val="false"/>
                <w:bCs w:val="false"/>
                <w:sz w:val="17"/>
                <w:szCs w:val="17"/>
              </w:rPr>
              <w:t xml:space="preserve">: ¿más de 2 decimales?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Proceso</w:t>
            </w:r>
          </w:p>
        </w:tc>
        <w:tc>
          <w:tcPr>
            <w:tcW w:type="dxa" w:w="68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5"/>
                <w:szCs w:val="15"/>
              </w:rPr>
              <w:t xml:space="preserve">throw InvalidWeightError("El peso admite como máximo 2 decimales.")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Predicado D3</w:t>
            </w:r>
          </w:p>
        </w:tc>
        <w:tc>
          <w:tcPr>
            <w:tcW w:type="dxa" w:w="68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5"/>
                <w:szCs w:val="15"/>
              </w:rPr>
              <w:t xml:space="preserve">weightCentiKg &lt; toCentiKg(min)</w:t>
            </w:r>
            <w:r>
              <w:rPr>
                <w:b w:val="false"/>
                <w:bCs w:val="false"/>
                <w:sz w:val="17"/>
                <w:szCs w:val="17"/>
              </w:rPr>
              <w:t xml:space="preserve">: ¿peso menor que 0.01 kg?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Proceso</w:t>
            </w:r>
          </w:p>
        </w:tc>
        <w:tc>
          <w:tcPr>
            <w:tcW w:type="dxa" w:w="68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5"/>
                <w:szCs w:val="15"/>
              </w:rPr>
              <w:t xml:space="preserve">throw InvalidWeightError("El peso mínimo es 0.01 kg.")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Predicado D4</w:t>
            </w:r>
          </w:p>
        </w:tc>
        <w:tc>
          <w:tcPr>
            <w:tcW w:type="dxa" w:w="68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5"/>
                <w:szCs w:val="15"/>
              </w:rPr>
              <w:t xml:space="preserve">weightCentiKg &gt; toCentiKg(max)</w:t>
            </w:r>
            <w:r>
              <w:rPr>
                <w:b w:val="false"/>
                <w:bCs w:val="false"/>
                <w:sz w:val="17"/>
                <w:szCs w:val="17"/>
              </w:rPr>
              <w:t xml:space="preserve">: ¿peso mayor que 20.00 kg?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Proceso</w:t>
            </w:r>
          </w:p>
        </w:tc>
        <w:tc>
          <w:tcPr>
            <w:tcW w:type="dxa" w:w="68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5"/>
                <w:szCs w:val="15"/>
              </w:rPr>
              <w:t xml:space="preserve">throw WeightLimitExceededError</w:t>
            </w:r>
            <w:r>
              <w:rPr>
                <w:b w:val="false"/>
                <w:bCs w:val="false"/>
                <w:sz w:val="17"/>
                <w:szCs w:val="17"/>
              </w:rPr>
              <w:t xml:space="preserve"> (BR-02: envío rechazado)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Predicado D5</w:t>
            </w:r>
          </w:p>
        </w:tc>
        <w:tc>
          <w:tcPr>
            <w:tcW w:type="dxa" w:w="68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5"/>
                <w:szCs w:val="15"/>
              </w:rPr>
              <w:t xml:space="preserve">weightTiers.find(...)</w:t>
            </w:r>
            <w:r>
              <w:rPr>
                <w:b w:val="false"/>
                <w:bCs w:val="false"/>
                <w:sz w:val="17"/>
                <w:szCs w:val="17"/>
              </w:rPr>
              <w:t xml:space="preserve">: ¿quedan tramos por revisar?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Predicado D6</w:t>
            </w:r>
          </w:p>
        </w:tc>
        <w:tc>
          <w:tcPr>
            <w:tcW w:type="dxa" w:w="68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5"/>
                <w:szCs w:val="15"/>
              </w:rPr>
              <w:t xml:space="preserve">minKg ≤ peso &amp;&amp; peso ≤ maxKg</w:t>
            </w:r>
            <w:r>
              <w:rPr>
                <w:b w:val="false"/>
                <w:bCs w:val="false"/>
                <w:sz w:val="17"/>
                <w:szCs w:val="17"/>
              </w:rPr>
              <w:t xml:space="preserve">: ¿el peso está en el tramo actual?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Proceso</w:t>
            </w:r>
          </w:p>
        </w:tc>
        <w:tc>
          <w:tcPr>
            <w:tcW w:type="dxa" w:w="68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Pasar al siguiente tramo (i = i + 1)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Predicado D7</w:t>
            </w:r>
          </w:p>
        </w:tc>
        <w:tc>
          <w:tcPr>
            <w:tcW w:type="dxa" w:w="68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5"/>
                <w:szCs w:val="15"/>
              </w:rPr>
              <w:t xml:space="preserve">!tier</w:t>
            </w:r>
            <w:r>
              <w:rPr>
                <w:b w:val="false"/>
                <w:bCs w:val="false"/>
                <w:sz w:val="17"/>
                <w:szCs w:val="17"/>
              </w:rPr>
              <w:t xml:space="preserve">: ¿no se encontró tramo?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Proceso</w:t>
            </w:r>
          </w:p>
        </w:tc>
        <w:tc>
          <w:tcPr>
            <w:tcW w:type="dxa" w:w="68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5"/>
                <w:szCs w:val="15"/>
              </w:rPr>
              <w:t xml:space="preserve">throw Error("No hay un tramo de peso configurado…")</w:t>
            </w:r>
            <w:r>
              <w:rPr>
                <w:b w:val="false"/>
                <w:bCs w:val="false"/>
                <w:sz w:val="17"/>
                <w:szCs w:val="17"/>
              </w:rPr>
              <w:t xml:space="preserve"> (defensivo)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Proceso</w:t>
            </w:r>
          </w:p>
        </w:tc>
        <w:tc>
          <w:tcPr>
            <w:tcW w:type="dxa" w:w="68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Cargo por peso y subtotal (BR-01, BR-02); descuento sobre el subtotal (BR-03); recargo sobre el subtotal con descuento (BR-04); total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Salida</w:t>
            </w:r>
          </w:p>
        </w:tc>
        <w:tc>
          <w:tcPr>
            <w:tcW w:type="dxa" w:w="68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Fin: retorno del desglose o salida por excepción</w:t>
            </w:r>
          </w:p>
        </w:tc>
      </w:tr>
    </w:tbl>
    <w:p>
      <w:pPr>
        <w:pStyle w:val="Heading2"/>
        <w:keepNext/>
      </w:pPr>
      <w:r>
        <w:t xml:space="preserve">2.3 Cálculo de la Complejidad Ciclomática V(G)</w:t>
      </w:r>
    </w:p>
    <w:p>
      <w:pPr>
        <w:pStyle w:val="Heading3"/>
        <w:keepNext/>
      </w:pPr>
      <w:r>
        <w:t xml:space="preserve">Método 1: aristas y nodos</w:t>
      </w:r>
    </w:p>
    <w:p>
      <w:pPr>
        <w:spacing w:after="140" w:line="276"/>
        <w:jc w:val="both"/>
      </w:pPr>
      <w:r>
        <w:rPr>
          <w:b/>
          <w:bCs/>
        </w:rPr>
        <w:t xml:space="preserve">V(G) = E − N + 2</w:t>
      </w:r>
      <w:r>
        <w:t xml:space="preserve">, donde E es el número de aristas y N el número de nodos del grafo.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Nodos: N = 16 (del 1 al 16).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Aristas (E = 22): 1→2, 2→3, 2→4, 3→16, 4→5, 4→6, 5→16, 6→7, 6→8, 7→16, 8→9, 8→10, 9→16, 10→11, 10→13, 11→12, 11→13, 12→10, 13→14, 13→15, 14→16, 15→16.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Sustitución: V(G) = 22 − 16 + 2 = </w:t>
      </w:r>
      <w:r>
        <w:rPr>
          <w:b/>
          <w:bCs/>
        </w:rPr>
        <w:t xml:space="preserve">8</w:t>
      </w:r>
      <w:r>
        <w:t xml:space="preserve">.</w:t>
      </w:r>
    </w:p>
    <w:p>
      <w:pPr>
        <w:pStyle w:val="Heading3"/>
        <w:keepNext/>
      </w:pPr>
      <w:r>
        <w:t xml:space="preserve">Método 2: nodos predicado</w:t>
      </w:r>
    </w:p>
    <w:p>
      <w:pPr>
        <w:spacing w:after="140" w:line="276"/>
        <w:jc w:val="both"/>
      </w:pPr>
      <w:r>
        <w:rPr>
          <w:b/>
          <w:bCs/>
        </w:rPr>
        <w:t xml:space="preserve">V(G) = P + 1</w:t>
      </w:r>
      <w:r>
        <w:t xml:space="preserve">, donde P es el número de nodos predicado (decisiones binarias).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t xml:space="preserve">Nodos predicado: 2 (D1), 4 (D2), 6 (D3), 8 (D4), 10 (D5), 11 (D6) y 13 (D7). P = 7.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t xml:space="preserve">Sustitución: V(G) = 7 + 1 = </w:t>
      </w:r>
      <w:r>
        <w:rPr>
          <w:b/>
          <w:bCs/>
        </w:rPr>
        <w:t xml:space="preserve">8</w:t>
      </w:r>
      <w:r>
        <w:t xml:space="preserve">.</w:t>
      </w:r>
    </w:p>
    <w:p>
      <w:pPr>
        <w:pStyle w:val="Heading3"/>
        <w:keepNext/>
      </w:pPr>
      <w:r>
        <w:t xml:space="preserve">Método 3: regiones del grafo</w:t>
      </w:r>
    </w:p>
    <w:p>
      <w:pPr>
        <w:spacing w:after="140" w:line="276"/>
        <w:jc w:val="both"/>
      </w:pPr>
      <w:r>
        <w:rPr>
          <w:b/>
          <w:bCs/>
        </w:rPr>
        <w:t xml:space="preserve">V(G) = número de regiones</w:t>
      </w:r>
      <w:r>
        <w:t xml:space="preserve"> del grafo plano, incluida la región exterior.</w:t>
      </w:r>
    </w:p>
    <w:p>
      <w:pPr>
        <w:keepNext/>
        <w:spacing w:after="80" w:before="120"/>
      </w:pPr>
      <w:r>
        <w:rPr>
          <w:b/>
          <w:bCs/>
          <w:sz w:val="19"/>
          <w:szCs w:val="19"/>
        </w:rPr>
        <w:t xml:space="preserve">Tabla 17. Regiones del grafo</w:t>
      </w:r>
    </w:p>
    <w:tbl>
      <w:tblPr>
        <w:tblW w:type="dxa" w:w="936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200"/>
        <w:gridCol w:w="8160"/>
      </w:tblGrid>
      <w:tr>
        <w:trPr>
          <w:cantSplit/>
          <w:tblHeader/>
        </w:trPr>
        <w:tc>
          <w:tcPr>
            <w:tcW w:type="dxa" w:w="12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Región</w:t>
            </w:r>
          </w:p>
        </w:tc>
        <w:tc>
          <w:tcPr>
            <w:tcW w:type="dxa" w:w="816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Delimitada por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81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 → 3 → 16 ← 5 ← 4 ← 2 (salidas por peso no numérico y por decimales)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81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4 → 5 → 16 ← 7 ← 6 ← 4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R3</w:t>
            </w:r>
          </w:p>
        </w:tc>
        <w:tc>
          <w:tcPr>
            <w:tcW w:type="dxa" w:w="81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6 → 7 → 16 ← 9 ← 8 ← 6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R4</w:t>
            </w:r>
          </w:p>
        </w:tc>
        <w:tc>
          <w:tcPr>
            <w:tcW w:type="dxa" w:w="81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 → 11 → 12 → 10 (bucle de búsqueda del tramo)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R5</w:t>
            </w:r>
          </w:p>
        </w:tc>
        <w:tc>
          <w:tcPr>
            <w:tcW w:type="dxa" w:w="81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8 → 9 → 16 ← 14 ← 13 ← 11 → 12 → 10 ← 8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R6</w:t>
            </w:r>
          </w:p>
        </w:tc>
        <w:tc>
          <w:tcPr>
            <w:tcW w:type="dxa" w:w="81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13 → 14 → 16 ← 15 ← 13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R7</w:t>
            </w:r>
          </w:p>
        </w:tc>
        <w:tc>
          <w:tcPr>
            <w:tcW w:type="dxa" w:w="81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 → 13 (rama falsa de D5) y 10 → 11 → 13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R8</w:t>
            </w:r>
          </w:p>
        </w:tc>
        <w:tc>
          <w:tcPr>
            <w:tcW w:type="dxa" w:w="81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Región exterior</w:t>
            </w:r>
          </w:p>
        </w:tc>
      </w:tr>
    </w:tbl>
    <w:p>
      <w:pPr>
        <w:spacing w:after="120"/>
      </w:pPr>
    </w:p>
    <w:p>
      <w:pPr>
        <w:spacing w:after="140" w:line="276"/>
        <w:jc w:val="both"/>
      </w:pPr>
      <w:r>
        <w:t xml:space="preserve">Total: 7 regiones cerradas + 1 exterior = </w:t>
      </w:r>
      <w:r>
        <w:rPr>
          <w:b/>
          <w:bCs/>
        </w:rPr>
        <w:t xml:space="preserve">8</w:t>
      </w:r>
      <w:r>
        <w:t xml:space="preserve">. Los tres métodos coinciden: </w:t>
      </w:r>
      <w:r>
        <w:rPr>
          <w:b/>
          <w:bCs/>
        </w:rPr>
        <w:t xml:space="preserve">V(G) = 8</w:t>
      </w:r>
      <w:r>
        <w:t xml:space="preserve">.</w:t>
      </w:r>
    </w:p>
    <w:p>
      <w:pPr>
        <w:pStyle w:val="Heading3"/>
        <w:keepNext/>
      </w:pPr>
      <w:r>
        <w:t xml:space="preserve">Complejidad por función</w:t>
      </w:r>
    </w:p>
    <w:p>
      <w:pPr>
        <w:keepNext/>
        <w:spacing w:after="80" w:before="120"/>
      </w:pPr>
      <w:r>
        <w:rPr>
          <w:b/>
          <w:bCs/>
          <w:sz w:val="19"/>
          <w:szCs w:val="19"/>
        </w:rPr>
        <w:t xml:space="preserve">Tabla 18. Complejidad ciclomática de cada función</w:t>
      </w:r>
    </w:p>
    <w:tbl>
      <w:tblPr>
        <w:tblW w:type="dxa" w:w="936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800"/>
        <w:gridCol w:w="5160"/>
        <w:gridCol w:w="1400"/>
      </w:tblGrid>
      <w:tr>
        <w:trPr>
          <w:cantSplit/>
          <w:tblHeader/>
        </w:trPr>
        <w:tc>
          <w:tcPr>
            <w:tcW w:type="dxa" w:w="28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Función</w:t>
            </w:r>
          </w:p>
        </w:tc>
        <w:tc>
          <w:tcPr>
            <w:tcW w:type="dxa" w:w="516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Decisiones</w:t>
            </w:r>
          </w:p>
        </w:tc>
        <w:tc>
          <w:tcPr>
            <w:tcW w:type="dxa" w:w="14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V(G)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6"/>
                <w:szCs w:val="16"/>
              </w:rPr>
              <w:t xml:space="preserve">toCentiKg</w:t>
            </w:r>
          </w:p>
        </w:tc>
        <w:tc>
          <w:tcPr>
            <w:tcW w:type="dxa" w:w="51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 sentencias if (no finito, decimales)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6"/>
                <w:szCs w:val="16"/>
              </w:rPr>
              <w:t xml:space="preserve">findWeightTier</w:t>
            </w:r>
          </w:p>
        </w:tc>
        <w:tc>
          <w:tcPr>
            <w:tcW w:type="dxa" w:w="51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 sentencias if (mínimo, máximo, sin tramo)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Predicado de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6"/>
                <w:szCs w:val="16"/>
              </w:rPr>
              <w:t xml:space="preserve">find</w:t>
            </w:r>
          </w:p>
        </w:tc>
        <w:tc>
          <w:tcPr>
            <w:tcW w:type="dxa" w:w="51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 operador &amp;&amp; (dos condiciones)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6"/>
                <w:szCs w:val="16"/>
              </w:rPr>
              <w:t xml:space="preserve">toShipment</w:t>
            </w:r>
          </w:p>
        </w:tc>
        <w:tc>
          <w:tcPr>
            <w:tcW w:type="dxa" w:w="51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 sentencias if (tipo de cliente, tipo de envío); se ejecuta antes del cálculo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6"/>
                <w:szCs w:val="16"/>
              </w:rPr>
              <w:t xml:space="preserve">percentOf</w:t>
            </w:r>
          </w:p>
        </w:tc>
        <w:tc>
          <w:tcPr>
            <w:tcW w:type="dxa" w:w="51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Ninguna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6"/>
                <w:szCs w:val="16"/>
              </w:rPr>
              <w:t xml:space="preserve">calculateShippingCost</w:t>
            </w:r>
          </w:p>
        </w:tc>
        <w:tc>
          <w:tcPr>
            <w:tcW w:type="dxa" w:w="51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Ninguna (secuencial)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</w:tbl>
    <w:p>
      <w:pPr>
        <w:spacing w:after="120"/>
      </w:pPr>
    </w:p>
    <w:p>
      <w:pPr>
        <w:spacing w:after="140" w:line="276"/>
        <w:jc w:val="both"/>
      </w:pPr>
      <w:r>
        <w:t xml:space="preserve">En el grafo integrado, las decisiones suman 2 (</w:t>
      </w:r>
      <w:r>
        <w:rPr>
          <w:rFonts w:ascii="Courier New" w:cs="Courier New" w:eastAsia="Courier New" w:hAnsi="Courier New"/>
          <w:sz w:val="20"/>
          <w:szCs w:val="20"/>
        </w:rPr>
        <w:t xml:space="preserve">toCentiKg</w:t>
      </w:r>
      <w:r>
        <w:t xml:space="preserve">) + 3 (</w:t>
      </w:r>
      <w:r>
        <w:rPr>
          <w:rFonts w:ascii="Courier New" w:cs="Courier New" w:eastAsia="Courier New" w:hAnsi="Courier New"/>
          <w:sz w:val="20"/>
          <w:szCs w:val="20"/>
        </w:rPr>
        <w:t xml:space="preserve">findWeightTier</w:t>
      </w:r>
      <w:r>
        <w:t xml:space="preserve">) + 1 (bucle de </w:t>
      </w:r>
      <w:r>
        <w:rPr>
          <w:rFonts w:ascii="Courier New" w:cs="Courier New" w:eastAsia="Courier New" w:hAnsi="Courier New"/>
          <w:sz w:val="20"/>
          <w:szCs w:val="20"/>
        </w:rPr>
        <w:t xml:space="preserve">find</w:t>
      </w:r>
      <w:r>
        <w:t xml:space="preserve">) + 1 (predicado del tramo) = 7, lo que da V(G) = 8. Si la condición compuesta del nodo 11 se descompone en sus dos condiciones simples, la complejidad extendida es 9; ambas condiciones se cubren en la sección 2.5. Con V(G) = 8, el algoritmo está en el rango de riesgo bajo de McCabe (1–10).</w:t>
      </w:r>
    </w:p>
    <w:p>
      <w:pPr>
        <w:spacing w:after="140" w:line="276"/>
        <w:jc w:val="both"/>
      </w:pPr>
      <w:r>
        <w:rPr>
          <w:b/>
          <w:bCs/>
        </w:rPr>
        <w:t xml:space="preserve">Comparación con la estimación del marco teórico.</w:t>
      </w:r>
      <w:r>
        <w:t xml:space="preserve"> El marco estimaba V(G) ≈ 7 (P = 6) suponiendo cadenas if/else para el peso (inválido, ≤ 5, ≤ 20), el cliente (2) y el envío (1), y pedía confirmar el valor sobre el código real. En el código, los porcentajes de cliente y de envío se obtienen de tablas de consulta, sin decisiones, y la validación de esos tipos está en </w:t>
      </w:r>
      <w:r>
        <w:rPr>
          <w:rFonts w:ascii="Courier New" w:cs="Courier New" w:eastAsia="Courier New" w:hAnsi="Courier New"/>
          <w:sz w:val="20"/>
          <w:szCs w:val="20"/>
        </w:rPr>
        <w:t xml:space="preserve">toShipment</w:t>
      </w:r>
      <w:r>
        <w:t xml:space="preserve">, que se ejecuta antes del cálculo. A cambio, la validación del peso aporta cuatro decisiones (no finito, decimales, mínimo y máximo) y la selección del tramo es un bucle con su predicado. El valor definitivo sobre la función principal es V(G) = 8.</w:t>
      </w:r>
    </w:p>
    <w:p>
      <w:pPr>
        <w:pStyle w:val="Heading2"/>
        <w:keepNext/>
      </w:pPr>
      <w:r>
        <w:t xml:space="preserve">2.4 Cobertura de caminos independientes</w:t>
      </w:r>
    </w:p>
    <w:p>
      <w:pPr>
        <w:spacing w:after="140" w:line="276"/>
        <w:jc w:val="both"/>
      </w:pPr>
      <w:r>
        <w:t xml:space="preserve">V(G) = 8 es el número de caminos de la base de caminos independientes. Se obtuvo con el método de la línea base: se toma el camino más habitual (C5, peso en el primer tramo) y se invierte una decisión cada vez.</w:t>
      </w:r>
    </w:p>
    <w:p>
      <w:pPr>
        <w:keepNext/>
        <w:spacing w:after="80" w:before="120"/>
      </w:pPr>
      <w:r>
        <w:rPr>
          <w:b/>
          <w:bCs/>
          <w:sz w:val="19"/>
          <w:szCs w:val="19"/>
        </w:rPr>
        <w:t xml:space="preserve">Tabla 19. Caminos independientes y casos de prueba</w:t>
      </w:r>
    </w:p>
    <w:tbl>
      <w:tblPr>
        <w:tblW w:type="dxa" w:w="936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800"/>
        <w:gridCol w:w="2900"/>
        <w:gridCol w:w="1800"/>
        <w:gridCol w:w="2760"/>
        <w:gridCol w:w="1100"/>
      </w:tblGrid>
      <w:tr>
        <w:trPr>
          <w:cantSplit/>
          <w:tblHeader/>
        </w:trPr>
        <w:tc>
          <w:tcPr>
            <w:tcW w:type="dxa" w:w="8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Camino</w:t>
            </w:r>
          </w:p>
        </w:tc>
        <w:tc>
          <w:tcPr>
            <w:tcW w:type="dxa" w:w="29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Secuencia de nodos</w:t>
            </w:r>
          </w:p>
        </w:tc>
        <w:tc>
          <w:tcPr>
            <w:tcW w:type="dxa" w:w="18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Datos de prueba</w:t>
            </w:r>
          </w:p>
        </w:tc>
        <w:tc>
          <w:tcPr>
            <w:tcW w:type="dxa" w:w="276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Resultado esperado</w:t>
            </w:r>
          </w:p>
        </w:tc>
        <w:tc>
          <w:tcPr>
            <w:tcW w:type="dxa" w:w="11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Obtenido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C1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1-2-3-16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peso = NaN e Infinity</w:t>
            </w:r>
          </w:p>
        </w:tc>
        <w:tc>
          <w:tcPr>
            <w:tcW w:type="dxa" w:w="27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InvalidWeightError (número no válido)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C2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1-2-4-5-16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2.555 kg</w:t>
            </w:r>
          </w:p>
        </w:tc>
        <w:tc>
          <w:tcPr>
            <w:tcW w:type="dxa" w:w="27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InvalidWeightError (más de 2 decimales)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C3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1-2-4-6-7-16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0 kg</w:t>
            </w:r>
          </w:p>
        </w:tc>
        <w:tc>
          <w:tcPr>
            <w:tcW w:type="dxa" w:w="27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InvalidWeightError (peso mínimo)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C4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1-2-4-6-8-9-16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20.01 kg</w:t>
            </w:r>
          </w:p>
        </w:tc>
        <w:tc>
          <w:tcPr>
            <w:tcW w:type="dxa" w:w="27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WeightLimitExceededError (BR-02)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C5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1-2-4-6-8-10-11-13-15-16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3 kg</w:t>
            </w:r>
          </w:p>
        </w:tc>
        <w:tc>
          <w:tcPr>
            <w:tcW w:type="dxa" w:w="27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Tramo 1 · total $11.00 (1 iteración)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C6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1-2-4-6-8-10-11-12-10-11-13-15-16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10 kg</w:t>
            </w:r>
          </w:p>
        </w:tc>
        <w:tc>
          <w:tcPr>
            <w:tcW w:type="dxa" w:w="27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Tramo 2 · total $45.00 (2 iteraciones)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C7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1-2-4-6-8-10-11-12-10-11-12-10-13-14-16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7 kg con tramos 0.01–5 y 10–20 kg</w:t>
            </w:r>
          </w:p>
        </w:tc>
        <w:tc>
          <w:tcPr>
            <w:tcW w:type="dxa" w:w="27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Error: no hay tramo configurado para 7 kg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C8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1-2-4-6-8-10-11-13-14-16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27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Infactible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No ejecutable</w:t>
            </w:r>
          </w:p>
        </w:tc>
      </w:tr>
    </w:tbl>
    <w:p>
      <w:pPr>
        <w:spacing w:after="120"/>
      </w:pPr>
    </w:p>
    <w:p>
      <w:pPr>
        <w:spacing w:after="140" w:line="276"/>
        <w:jc w:val="both"/>
      </w:pPr>
      <w:r>
        <w:rPr>
          <w:b/>
          <w:bCs/>
        </w:rPr>
        <w:t xml:space="preserve">Camino C7.</w:t>
      </w:r>
      <w:r>
        <w:t xml:space="preserve"> Con las reglas reales, todo peso entre 0.01 y 20.00 kg pertenece a un tramo, así que el nodo 14 solo es alcanzable con una configuración con huecos. La prueba inyecta reglas con tramos 0.01–5.00 y 10.00–20.00 kg y un peso de 7 kg, que recorre ambos tramos sin coincidencia y sale del bucle por la rama falsa de D5.</w:t>
      </w:r>
    </w:p>
    <w:p>
      <w:pPr>
        <w:spacing w:after="140" w:line="276"/>
        <w:jc w:val="both"/>
      </w:pPr>
      <w:r>
        <w:rPr>
          <w:b/>
          <w:bCs/>
        </w:rPr>
        <w:t xml:space="preserve">Camino C8 (infactible).</w:t>
      </w:r>
      <w:r>
        <w:t xml:space="preserve"> Exige encontrar un tramo en el nodo 11 (rama verdadera) y aun así entrar en el nodo 14. Las decisiones D6 y D7 están correlacionadas: si el nodo 11 es verdadero, </w:t>
      </w:r>
      <w:r>
        <w:rPr>
          <w:rFonts w:ascii="Courier New" w:cs="Courier New" w:eastAsia="Courier New" w:hAnsi="Courier New"/>
          <w:sz w:val="20"/>
          <w:szCs w:val="20"/>
        </w:rPr>
        <w:t xml:space="preserve">find</w:t>
      </w:r>
      <w:r>
        <w:t xml:space="preserve"> devuelve el tramo y D7 siempre es falso. Tampoco es posible salir del bucle en la primera evaluación de D5, porque sin tramos el mínimo no está definido y la ejecución termina antes, en el nodo 6.</w:t>
      </w:r>
    </w:p>
    <w:p>
      <w:pPr>
        <w:spacing w:after="140" w:line="276"/>
        <w:jc w:val="both"/>
      </w:pPr>
      <w:r>
        <w:t xml:space="preserve">Los </w:t>
      </w:r>
      <w:r>
        <w:rPr>
          <w:b/>
          <w:bCs/>
        </w:rPr>
        <w:t xml:space="preserve">7 caminos factibles</w:t>
      </w:r>
      <w:r>
        <w:t xml:space="preserve"> recorren las 22 aristas del grafo (100 % de cobertura de ramas) y llevan cada uno de los 7 nodos predicado a sus dos resultados. Se automatizaron en </w:t>
      </w:r>
      <w:r>
        <w:rPr>
          <w:rFonts w:ascii="Courier New" w:cs="Courier New" w:eastAsia="Courier New" w:hAnsi="Courier New"/>
          <w:sz w:val="20"/>
          <w:szCs w:val="20"/>
        </w:rPr>
        <w:t xml:space="preserve">backend/tests/white-box/calculate-shipping-cost.paths.test.ts</w:t>
      </w:r>
      <w:r>
        <w:t xml:space="preserve">, con 8 pruebas (C1 se prueba con NaN y con Infinity). Todas resultaron aprobadas.</w:t>
      </w:r>
    </w:p>
    <w:p>
      <w:pPr>
        <w:pStyle w:val="Heading2"/>
        <w:keepNext/>
      </w:pPr>
      <w:r>
        <w:t xml:space="preserve">2.5 Cobertura de condiciones del nodo 11</w:t>
      </w:r>
    </w:p>
    <w:p>
      <w:pPr>
        <w:keepNext/>
        <w:spacing w:after="80" w:before="120"/>
      </w:pPr>
      <w:r>
        <w:rPr>
          <w:b/>
          <w:bCs/>
          <w:sz w:val="19"/>
          <w:szCs w:val="19"/>
        </w:rPr>
        <w:t xml:space="preserve">Tabla 20. Valores de las condiciones de minKg ≤ peso &amp;&amp; peso ≤ maxKg</w:t>
      </w:r>
    </w:p>
    <w:tbl>
      <w:tblPr>
        <w:tblW w:type="dxa" w:w="936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100"/>
        <w:gridCol w:w="2900"/>
        <w:gridCol w:w="2900"/>
        <w:gridCol w:w="2460"/>
      </w:tblGrid>
      <w:tr>
        <w:trPr>
          <w:cantSplit/>
          <w:tblHeader/>
        </w:trPr>
        <w:tc>
          <w:tcPr>
            <w:tcW w:type="dxa" w:w="11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Camino</w:t>
            </w:r>
          </w:p>
        </w:tc>
        <w:tc>
          <w:tcPr>
            <w:tcW w:type="dxa" w:w="29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Iteración 1 (tramo 0.01–5.00 kg)</w:t>
            </w:r>
          </w:p>
        </w:tc>
        <w:tc>
          <w:tcPr>
            <w:tcW w:type="dxa" w:w="29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Iteración 2 (segundo tramo)</w:t>
            </w:r>
          </w:p>
        </w:tc>
        <w:tc>
          <w:tcPr>
            <w:tcW w:type="dxa" w:w="246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C5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 &amp;&amp; V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4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Tramo 1 encontrado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C6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 &amp;&amp; F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 &amp;&amp; V (5.01–20.00 kg)</w:t>
            </w:r>
          </w:p>
        </w:tc>
        <w:tc>
          <w:tcPr>
            <w:tcW w:type="dxa" w:w="24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Tramo 2 encontrado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C7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 &amp;&amp; F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 (cortocircuito, 10–20 kg)</w:t>
            </w:r>
          </w:p>
        </w:tc>
        <w:tc>
          <w:tcPr>
            <w:tcW w:type="dxa" w:w="24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Ningún tramo</w:t>
            </w:r>
          </w:p>
        </w:tc>
      </w:tr>
    </w:tbl>
    <w:p>
      <w:pPr>
        <w:spacing w:after="120"/>
      </w:pPr>
    </w:p>
    <w:p>
      <w:pPr>
        <w:spacing w:after="140" w:line="276"/>
        <w:jc w:val="both"/>
      </w:pPr>
      <w:r>
        <w:t xml:space="preserve">Cada condición simple toma los valores verdadero y falso, con lo que se alcanza la cobertura de condiciones del predicado compuesto.</w:t>
      </w:r>
    </w:p>
    <w:p>
      <w:r>
        <w:br w:type="page"/>
      </w:r>
    </w:p>
    <w:p>
      <w:pPr>
        <w:pStyle w:val="Heading1"/>
      </w:pPr>
      <w:r>
        <w:t xml:space="preserve">3. Reporte de Cobertura (Code Coverage)</w:t>
      </w:r>
    </w:p>
    <w:p>
      <w:pPr>
        <w:pStyle w:val="Heading2"/>
        <w:keepNext/>
      </w:pPr>
      <w:r>
        <w:t xml:space="preserve">3.1 Configuración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Herramienta:</w:t>
      </w:r>
      <w:r>
        <w:t xml:space="preserve"> </w:t>
      </w:r>
      <w:r>
        <w:rPr>
          <w:rFonts w:ascii="Courier New" w:cs="Courier New" w:eastAsia="Courier New" w:hAnsi="Courier New"/>
          <w:sz w:val="20"/>
          <w:szCs w:val="20"/>
        </w:rPr>
        <w:t xml:space="preserve">@vitest/coverage-v8</w:t>
      </w:r>
      <w:r>
        <w:t xml:space="preserve"> 5.0.5, que usa la instrumentación nativa del motor V8.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Alcance del backend:</w:t>
      </w:r>
      <w:r>
        <w:t xml:space="preserve"> todo el código fuente (</w:t>
      </w:r>
      <w:r>
        <w:rPr>
          <w:rFonts w:ascii="Courier New" w:cs="Courier New" w:eastAsia="Courier New" w:hAnsi="Courier New"/>
          <w:sz w:val="20"/>
          <w:szCs w:val="20"/>
        </w:rPr>
        <w:t xml:space="preserve">src/**/*.ts</w:t>
      </w:r>
      <w:r>
        <w:t xml:space="preserve">) salvo </w:t>
      </w:r>
      <w:r>
        <w:rPr>
          <w:rFonts w:ascii="Courier New" w:cs="Courier New" w:eastAsia="Courier New" w:hAnsi="Courier New"/>
          <w:sz w:val="20"/>
          <w:szCs w:val="20"/>
        </w:rPr>
        <w:t xml:space="preserve">src/server.ts</w:t>
      </w:r>
      <w:r>
        <w:t xml:space="preserve">, el punto de entrada que solo compone dependencias y abre el puerto. Los archivos que solo declaran tipos (</w:t>
      </w:r>
      <w:r>
        <w:rPr>
          <w:rFonts w:ascii="Courier New" w:cs="Courier New" w:eastAsia="Courier New" w:hAnsi="Courier New"/>
          <w:sz w:val="20"/>
          <w:szCs w:val="20"/>
        </w:rPr>
        <w:t xml:space="preserve">order.ts</w:t>
      </w:r>
      <w: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order-repository.ts</w:t>
      </w:r>
      <w:r>
        <w:t xml:space="preserve">) no tienen código ejecutable y no se informan.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Alcance del frontend:</w:t>
      </w:r>
      <w:r>
        <w:t xml:space="preserve"> todo el código fuente (</w:t>
      </w:r>
      <w:r>
        <w:rPr>
          <w:rFonts w:ascii="Courier New" w:cs="Courier New" w:eastAsia="Courier New" w:hAnsi="Courier New"/>
          <w:sz w:val="20"/>
          <w:szCs w:val="20"/>
        </w:rPr>
        <w:t xml:space="preserve">src/**/*.{ts,tsx}</w:t>
      </w:r>
      <w:r>
        <w:t xml:space="preserve">) salvo </w:t>
      </w:r>
      <w:r>
        <w:rPr>
          <w:rFonts w:ascii="Courier New" w:cs="Courier New" w:eastAsia="Courier New" w:hAnsi="Courier New"/>
          <w:sz w:val="20"/>
          <w:szCs w:val="20"/>
        </w:rPr>
        <w:t xml:space="preserve">src/main.tsx</w:t>
      </w:r>
      <w:r>
        <w:t xml:space="preserve"> (arranque), </w:t>
      </w:r>
      <w:r>
        <w:rPr>
          <w:rFonts w:ascii="Courier New" w:cs="Courier New" w:eastAsia="Courier New" w:hAnsi="Courier New"/>
          <w:sz w:val="20"/>
          <w:szCs w:val="20"/>
        </w:rPr>
        <w:t xml:space="preserve">src/vite-env.d.ts</w:t>
      </w:r>
      <w:r>
        <w:t xml:space="preserve"> (tipos), las utilidades de prueba (</w:t>
      </w:r>
      <w:r>
        <w:rPr>
          <w:rFonts w:ascii="Courier New" w:cs="Courier New" w:eastAsia="Courier New" w:hAnsi="Courier New"/>
          <w:sz w:val="20"/>
          <w:szCs w:val="20"/>
        </w:rPr>
        <w:t xml:space="preserve">src/test/</w:t>
      </w:r>
      <w:r>
        <w:t xml:space="preserve">) y los propios archivos de prueba.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Umbral obligatorio:</w:t>
      </w:r>
      <w:r>
        <w:t xml:space="preserve"> 85 % de líneas, ramas, funciones y sentencias en ambos proyectos (</w:t>
      </w:r>
      <w:r>
        <w:rPr>
          <w:rFonts w:ascii="Courier New" w:cs="Courier New" w:eastAsia="Courier New" w:hAnsi="Courier New"/>
          <w:sz w:val="20"/>
          <w:szCs w:val="20"/>
        </w:rPr>
        <w:t xml:space="preserve">backend/vitest.config.ts</w:t>
      </w:r>
      <w:r>
        <w:t xml:space="preserve"> y </w:t>
      </w:r>
      <w:r>
        <w:rPr>
          <w:rFonts w:ascii="Courier New" w:cs="Courier New" w:eastAsia="Courier New" w:hAnsi="Courier New"/>
          <w:sz w:val="20"/>
          <w:szCs w:val="20"/>
        </w:rPr>
        <w:t xml:space="preserve">frontend/vite.config.ts</w:t>
      </w:r>
      <w:r>
        <w:t xml:space="preserve">). Si no se alcanza, la ejecución falla.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Ejecución:</w:t>
      </w:r>
      <w:r>
        <w:t xml:space="preserve"> </w:t>
      </w:r>
      <w:r>
        <w:rPr>
          <w:rFonts w:ascii="Courier New" w:cs="Courier New" w:eastAsia="Courier New" w:hAnsi="Courier New"/>
          <w:sz w:val="20"/>
          <w:szCs w:val="20"/>
        </w:rPr>
        <w:t xml:space="preserve">npm run coverage</w:t>
      </w:r>
      <w:r>
        <w:t xml:space="preserve"> para ambos proyectos, o </w:t>
      </w:r>
      <w:r>
        <w:rPr>
          <w:rFonts w:ascii="Courier New" w:cs="Courier New" w:eastAsia="Courier New" w:hAnsi="Courier New"/>
          <w:sz w:val="20"/>
          <w:szCs w:val="20"/>
        </w:rPr>
        <w:t xml:space="preserve">npm run test:coverage -w backend</w:t>
      </w:r>
      <w:r>
        <w:t xml:space="preserve"> y </w:t>
      </w:r>
      <w:r>
        <w:rPr>
          <w:rFonts w:ascii="Courier New" w:cs="Courier New" w:eastAsia="Courier New" w:hAnsi="Courier New"/>
          <w:sz w:val="20"/>
          <w:szCs w:val="20"/>
        </w:rPr>
        <w:t xml:space="preserve">-w frontend</w:t>
      </w:r>
      <w:r>
        <w:t xml:space="preserve"> por separado. El informe HTML navegable se genera en </w:t>
      </w:r>
      <w:r>
        <w:rPr>
          <w:rFonts w:ascii="Courier New" w:cs="Courier New" w:eastAsia="Courier New" w:hAnsi="Courier New"/>
          <w:sz w:val="20"/>
          <w:szCs w:val="20"/>
        </w:rPr>
        <w:t xml:space="preserve">backend/coverage/index.html</w:t>
      </w:r>
      <w:r>
        <w:t xml:space="preserve"> y </w:t>
      </w:r>
      <w:r>
        <w:rPr>
          <w:rFonts w:ascii="Courier New" w:cs="Courier New" w:eastAsia="Courier New" w:hAnsi="Courier New"/>
          <w:sz w:val="20"/>
          <w:szCs w:val="20"/>
        </w:rPr>
        <w:t xml:space="preserve">frontend/coverage/index.html</w:t>
      </w:r>
      <w:r>
        <w:t xml:space="preserve">.</w:t>
      </w:r>
    </w:p>
    <w:p>
      <w:pPr>
        <w:pStyle w:val="Heading2"/>
        <w:keepNext/>
      </w:pPr>
      <w:r>
        <w:t xml:space="preserve">3.2 Capturas de la cobertura alcanzada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667375" cy="5581650"/>
            <wp:effectExtent t="0" r="0" b="0" l="0"/>
            <wp:docPr id="4" name="coverage-backend.png" descr="coverage-backend.png" title="coverage-backen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58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/>
        <w:jc w:val="center"/>
      </w:pPr>
      <w:r>
        <w:rPr>
          <w:i/>
          <w:iCs/>
          <w:sz w:val="19"/>
          <w:szCs w:val="19"/>
        </w:rPr>
        <w:t xml:space="preserve">Figura 4. Salida de npm run test:coverage -w backend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667375" cy="4343400"/>
            <wp:effectExtent t="0" r="0" b="0" l="0"/>
            <wp:docPr id="5" name="coverage-frontend.png" descr="coverage-frontend.png" title="coverage-fronten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434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/>
        <w:jc w:val="center"/>
      </w:pPr>
      <w:r>
        <w:rPr>
          <w:i/>
          <w:iCs/>
          <w:sz w:val="19"/>
          <w:szCs w:val="19"/>
        </w:rPr>
        <w:t xml:space="preserve">Figura 5. Salida de npm run test:coverage -w frontend (filas por carpeta; el detalle por capa está en la Tabla 23)</w:t>
      </w:r>
    </w:p>
    <w:p>
      <w:pPr>
        <w:pStyle w:val="Heading2"/>
        <w:keepNext/>
      </w:pPr>
      <w:r>
        <w:t xml:space="preserve">3.3 Resultados</w:t>
      </w:r>
    </w:p>
    <w:p>
      <w:pPr>
        <w:keepNext/>
        <w:spacing w:after="80" w:before="120"/>
      </w:pPr>
      <w:r>
        <w:rPr>
          <w:b/>
          <w:bCs/>
          <w:sz w:val="19"/>
          <w:szCs w:val="19"/>
        </w:rPr>
        <w:t xml:space="preserve">Tabla 21. Cobertura global frente al mínimo requerido</w:t>
      </w:r>
    </w:p>
    <w:tbl>
      <w:tblPr>
        <w:tblW w:type="dxa" w:w="936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480"/>
        <w:gridCol w:w="2480"/>
        <w:gridCol w:w="1300"/>
        <w:gridCol w:w="1400"/>
      </w:tblGrid>
      <w:tr>
        <w:trPr>
          <w:cantSplit/>
          <w:tblHeader/>
        </w:trPr>
        <w:tc>
          <w:tcPr>
            <w:tcW w:type="dxa" w:w="17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Métrica</w:t>
            </w:r>
          </w:p>
        </w:tc>
        <w:tc>
          <w:tcPr>
            <w:tcW w:type="dxa" w:w="248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Backend</w:t>
            </w:r>
          </w:p>
        </w:tc>
        <w:tc>
          <w:tcPr>
            <w:tcW w:type="dxa" w:w="248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Frontend</w:t>
            </w:r>
          </w:p>
        </w:tc>
        <w:tc>
          <w:tcPr>
            <w:tcW w:type="dxa" w:w="13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Mínimo</w:t>
            </w:r>
          </w:p>
        </w:tc>
        <w:tc>
          <w:tcPr>
            <w:tcW w:type="dxa" w:w="14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Cumple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Líneas</w:t>
            </w:r>
          </w:p>
        </w:tc>
        <w:tc>
          <w:tcPr>
            <w:tcW w:type="dxa" w:w="248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100 % (145/145)</w:t>
            </w:r>
          </w:p>
        </w:tc>
        <w:tc>
          <w:tcPr>
            <w:tcW w:type="dxa" w:w="248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99.53 % (422/424)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85 %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Ramas</w:t>
            </w:r>
          </w:p>
        </w:tc>
        <w:tc>
          <w:tcPr>
            <w:tcW w:type="dxa" w:w="248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100 % (51/51)</w:t>
            </w:r>
          </w:p>
        </w:tc>
        <w:tc>
          <w:tcPr>
            <w:tcW w:type="dxa" w:w="248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97.53 % (356/365)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85 %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Funciones</w:t>
            </w:r>
          </w:p>
        </w:tc>
        <w:tc>
          <w:tcPr>
            <w:tcW w:type="dxa" w:w="248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100 % (50/50)</w:t>
            </w:r>
          </w:p>
        </w:tc>
        <w:tc>
          <w:tcPr>
            <w:tcW w:type="dxa" w:w="248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99.45 % (182/183)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85 %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Sentencias</w:t>
            </w:r>
          </w:p>
        </w:tc>
        <w:tc>
          <w:tcPr>
            <w:tcW w:type="dxa" w:w="248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100 % (152/152)</w:t>
            </w:r>
          </w:p>
        </w:tc>
        <w:tc>
          <w:tcPr>
            <w:tcW w:type="dxa" w:w="248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99.57 % (460/462)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85 %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</w:tr>
    </w:tbl>
    <w:p>
      <w:pPr>
        <w:spacing w:after="120"/>
      </w:pPr>
    </w:p>
    <w:p>
      <w:pPr>
        <w:keepNext/>
        <w:spacing w:after="80" w:before="120"/>
      </w:pPr>
      <w:r>
        <w:rPr>
          <w:b/>
          <w:bCs/>
          <w:sz w:val="19"/>
          <w:szCs w:val="19"/>
        </w:rPr>
        <w:t xml:space="preserve">Tabla 22. Cobertura por archivo del backend</w:t>
      </w:r>
    </w:p>
    <w:tbl>
      <w:tblPr>
        <w:tblW w:type="dxa" w:w="936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3960"/>
        <w:gridCol w:w="1350"/>
        <w:gridCol w:w="1350"/>
        <w:gridCol w:w="1350"/>
        <w:gridCol w:w="1350"/>
      </w:tblGrid>
      <w:tr>
        <w:trPr>
          <w:cantSplit/>
          <w:tblHeader/>
        </w:trPr>
        <w:tc>
          <w:tcPr>
            <w:tcW w:type="dxa" w:w="396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Archivo</w:t>
            </w:r>
          </w:p>
        </w:tc>
        <w:tc>
          <w:tcPr>
            <w:tcW w:type="dxa" w:w="135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Sentencias</w:t>
            </w:r>
          </w:p>
        </w:tc>
        <w:tc>
          <w:tcPr>
            <w:tcW w:type="dxa" w:w="135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Ramas</w:t>
            </w:r>
          </w:p>
        </w:tc>
        <w:tc>
          <w:tcPr>
            <w:tcW w:type="dxa" w:w="135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Funciones</w:t>
            </w:r>
          </w:p>
        </w:tc>
        <w:tc>
          <w:tcPr>
            <w:tcW w:type="dxa" w:w="135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Líneas</w:t>
            </w:r>
          </w:p>
        </w:tc>
      </w:tr>
      <w:tr>
        <w:trPr>
          <w:cantSplit/>
        </w:trPr>
        <w:tc>
          <w:tcPr>
            <w:tcW w:type="dxa" w:w="39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src/config.ts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</w:t>
            </w:r>
          </w:p>
        </w:tc>
      </w:tr>
      <w:tr>
        <w:trPr>
          <w:cantSplit/>
        </w:trPr>
        <w:tc>
          <w:tcPr>
            <w:tcW w:type="dxa" w:w="39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src/api/app.ts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</w:t>
            </w:r>
          </w:p>
        </w:tc>
      </w:tr>
      <w:tr>
        <w:trPr>
          <w:cantSplit/>
        </w:trPr>
        <w:tc>
          <w:tcPr>
            <w:tcW w:type="dxa" w:w="39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src/api/error-handler.ts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</w:t>
            </w:r>
          </w:p>
        </w:tc>
      </w:tr>
      <w:tr>
        <w:trPr>
          <w:cantSplit/>
        </w:trPr>
        <w:tc>
          <w:tcPr>
            <w:tcW w:type="dxa" w:w="39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src/api/presenters.ts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</w:t>
            </w:r>
          </w:p>
        </w:tc>
      </w:tr>
      <w:tr>
        <w:trPr>
          <w:cantSplit/>
        </w:trPr>
        <w:tc>
          <w:tcPr>
            <w:tcW w:type="dxa" w:w="39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src/api/schemas.ts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</w:t>
            </w:r>
          </w:p>
        </w:tc>
      </w:tr>
      <w:tr>
        <w:trPr>
          <w:cantSplit/>
        </w:trPr>
        <w:tc>
          <w:tcPr>
            <w:tcW w:type="dxa" w:w="39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src/api/routes/order-routes.ts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</w:t>
            </w:r>
          </w:p>
        </w:tc>
      </w:tr>
      <w:tr>
        <w:trPr>
          <w:cantSplit/>
        </w:trPr>
        <w:tc>
          <w:tcPr>
            <w:tcW w:type="dxa" w:w="39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src/api/routes/pricing-routes.ts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</w:t>
            </w:r>
          </w:p>
        </w:tc>
      </w:tr>
      <w:tr>
        <w:trPr>
          <w:cantSplit/>
        </w:trPr>
        <w:tc>
          <w:tcPr>
            <w:tcW w:type="dxa" w:w="39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src/application/errors.ts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</w:t>
            </w:r>
          </w:p>
        </w:tc>
      </w:tr>
      <w:tr>
        <w:trPr>
          <w:cantSplit/>
        </w:trPr>
        <w:tc>
          <w:tcPr>
            <w:tcW w:type="dxa" w:w="39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src/application/shipping-service.ts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</w:t>
            </w:r>
          </w:p>
        </w:tc>
      </w:tr>
      <w:tr>
        <w:trPr>
          <w:cantSplit/>
        </w:trPr>
        <w:tc>
          <w:tcPr>
            <w:tcW w:type="dxa" w:w="39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src/domain/errors.ts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</w:t>
            </w:r>
          </w:p>
        </w:tc>
      </w:tr>
      <w:tr>
        <w:trPr>
          <w:cantSplit/>
        </w:trPr>
        <w:tc>
          <w:tcPr>
            <w:tcW w:type="dxa" w:w="39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src/domain/pricing/calculate-shipping-cost.ts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</w:t>
            </w:r>
          </w:p>
        </w:tc>
      </w:tr>
      <w:tr>
        <w:trPr>
          <w:cantSplit/>
        </w:trPr>
        <w:tc>
          <w:tcPr>
            <w:tcW w:type="dxa" w:w="39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src/domain/pricing/pricing-rules.ts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</w:t>
            </w:r>
          </w:p>
        </w:tc>
      </w:tr>
      <w:tr>
        <w:trPr>
          <w:cantSplit/>
        </w:trPr>
        <w:tc>
          <w:tcPr>
            <w:tcW w:type="dxa" w:w="39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src/domain/pricing/shipment.ts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</w:t>
            </w:r>
          </w:p>
        </w:tc>
      </w:tr>
      <w:tr>
        <w:trPr>
          <w:cantSplit/>
        </w:trPr>
        <w:tc>
          <w:tcPr>
            <w:tcW w:type="dxa" w:w="39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src/infrastructure/in-memory-order-repository.ts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</w:t>
            </w:r>
          </w:p>
        </w:tc>
        <w:tc>
          <w:tcPr>
            <w:tcW w:type="dxa" w:w="13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</w:t>
            </w:r>
          </w:p>
        </w:tc>
      </w:tr>
    </w:tbl>
    <w:p>
      <w:pPr>
        <w:spacing w:after="120"/>
      </w:pPr>
    </w:p>
    <w:p>
      <w:pPr>
        <w:keepNext/>
        <w:spacing w:after="80" w:before="120"/>
      </w:pPr>
      <w:r>
        <w:rPr>
          <w:b/>
          <w:bCs/>
          <w:sz w:val="19"/>
          <w:szCs w:val="19"/>
        </w:rPr>
        <w:t xml:space="preserve">Tabla 23. Cobertura del frontend por capa</w:t>
      </w:r>
    </w:p>
    <w:tbl>
      <w:tblPr>
        <w:tblW w:type="dxa" w:w="936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3360"/>
        <w:gridCol w:w="2000"/>
        <w:gridCol w:w="2000"/>
        <w:gridCol w:w="2000"/>
      </w:tblGrid>
      <w:tr>
        <w:trPr>
          <w:cantSplit/>
          <w:tblHeader/>
        </w:trPr>
        <w:tc>
          <w:tcPr>
            <w:tcW w:type="dxa" w:w="336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Capa</w:t>
            </w:r>
          </w:p>
        </w:tc>
        <w:tc>
          <w:tcPr>
            <w:tcW w:type="dxa" w:w="20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Líneas</w:t>
            </w:r>
          </w:p>
        </w:tc>
        <w:tc>
          <w:tcPr>
            <w:tcW w:type="dxa" w:w="20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Ramas</w:t>
            </w:r>
          </w:p>
        </w:tc>
        <w:tc>
          <w:tcPr>
            <w:tcW w:type="dxa" w:w="20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Funciones</w:t>
            </w:r>
          </w:p>
        </w:tc>
      </w:tr>
      <w:tr>
        <w:trPr>
          <w:cantSplit/>
        </w:trPr>
        <w:tc>
          <w:tcPr>
            <w:tcW w:type="dxa" w:w="33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Estructura de la app (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5"/>
                <w:szCs w:val="15"/>
              </w:rPr>
              <w:t xml:space="preserve">app/</w:t>
            </w:r>
            <w:r>
              <w:rPr>
                <w:b w:val="false"/>
                <w:bCs w:val="false"/>
                <w:sz w:val="17"/>
                <w:szCs w:val="17"/>
              </w:rPr>
              <w:t xml:space="preserve">)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 (16/16)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 (6/6)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 (9/9)</w:t>
            </w:r>
          </w:p>
        </w:tc>
      </w:tr>
      <w:tr>
        <w:trPr>
          <w:cantSplit/>
        </w:trPr>
        <w:tc>
          <w:tcPr>
            <w:tcW w:type="dxa" w:w="33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Tema, hooks y utilidades (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5"/>
                <w:szCs w:val="15"/>
              </w:rPr>
              <w:t xml:space="preserve">core/</w:t>
            </w:r>
            <w:r>
              <w:rPr>
                <w:b w:val="false"/>
                <w:bCs w:val="false"/>
                <w:sz w:val="17"/>
                <w:szCs w:val="17"/>
              </w:rPr>
              <w:t xml:space="preserve">)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 (91/91)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 (36/36)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 (39/39)</w:t>
            </w:r>
          </w:p>
        </w:tc>
      </w:tr>
      <w:tr>
        <w:trPr>
          <w:cantSplit/>
        </w:trPr>
        <w:tc>
          <w:tcPr>
            <w:tcW w:type="dxa" w:w="33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Modelos (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5"/>
                <w:szCs w:val="15"/>
              </w:rPr>
              <w:t xml:space="preserve">models/</w:t>
            </w:r>
            <w:r>
              <w:rPr>
                <w:b w:val="false"/>
                <w:bCs w:val="false"/>
                <w:sz w:val="17"/>
                <w:szCs w:val="17"/>
              </w:rPr>
              <w:t xml:space="preserve">)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 (7/7)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— (0/0)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 (1/1)</w:t>
            </w:r>
          </w:p>
        </w:tc>
      </w:tr>
      <w:tr>
        <w:trPr>
          <w:cantSplit/>
        </w:trPr>
        <w:tc>
          <w:tcPr>
            <w:tcW w:type="dxa" w:w="33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Servicios HTTP (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5"/>
                <w:szCs w:val="15"/>
              </w:rPr>
              <w:t xml:space="preserve">services/</w:t>
            </w:r>
            <w:r>
              <w:rPr>
                <w:b w:val="false"/>
                <w:bCs w:val="false"/>
                <w:sz w:val="17"/>
                <w:szCs w:val="17"/>
              </w:rPr>
              <w:t xml:space="preserve">)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 (26/26)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 (18/18)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 (10/10)</w:t>
            </w:r>
          </w:p>
        </w:tc>
      </w:tr>
      <w:tr>
        <w:trPr>
          <w:cantSplit/>
        </w:trPr>
        <w:tc>
          <w:tcPr>
            <w:tcW w:type="dxa" w:w="33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Componentes Material 3 (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5"/>
                <w:szCs w:val="15"/>
              </w:rPr>
              <w:t xml:space="preserve">ui/</w:t>
            </w:r>
            <w:r>
              <w:rPr>
                <w:b w:val="false"/>
                <w:bCs w:val="false"/>
                <w:sz w:val="17"/>
                <w:szCs w:val="17"/>
              </w:rPr>
              <w:t xml:space="preserve">)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 (59/59)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98.98 % (97/98)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 (29/29)</w:t>
            </w:r>
          </w:p>
        </w:tc>
      </w:tr>
      <w:tr>
        <w:trPr>
          <w:cantSplit/>
        </w:trPr>
        <w:tc>
          <w:tcPr>
            <w:tcW w:type="dxa" w:w="33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ViewModels (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5"/>
                <w:szCs w:val="15"/>
              </w:rPr>
              <w:t xml:space="preserve">viewmodels/</w:t>
            </w:r>
            <w:r>
              <w:rPr>
                <w:b w:val="false"/>
                <w:bCs w:val="false"/>
                <w:sz w:val="17"/>
                <w:szCs w:val="17"/>
              </w:rPr>
              <w:t xml:space="preserve">)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 (139/139)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96.84 % (92/95)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 (51/51)</w:t>
            </w:r>
          </w:p>
        </w:tc>
      </w:tr>
      <w:tr>
        <w:trPr>
          <w:cantSplit/>
        </w:trPr>
        <w:tc>
          <w:tcPr>
            <w:tcW w:type="dxa" w:w="33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Componentes de vista (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5"/>
                <w:szCs w:val="15"/>
              </w:rPr>
              <w:t xml:space="preserve">views/components/</w:t>
            </w:r>
            <w:r>
              <w:rPr>
                <w:b w:val="false"/>
                <w:bCs w:val="false"/>
                <w:sz w:val="17"/>
                <w:szCs w:val="17"/>
              </w:rPr>
              <w:t xml:space="preserve">)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98.18 % (54/55)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95 % (76/80)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96.88 % (31/32)</w:t>
            </w:r>
          </w:p>
        </w:tc>
      </w:tr>
      <w:tr>
        <w:trPr>
          <w:cantSplit/>
        </w:trPr>
        <w:tc>
          <w:tcPr>
            <w:tcW w:type="dxa" w:w="33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Páginas (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5"/>
                <w:szCs w:val="15"/>
              </w:rPr>
              <w:t xml:space="preserve">views/pages/</w:t>
            </w:r>
            <w:r>
              <w:rPr>
                <w:b w:val="false"/>
                <w:bCs w:val="false"/>
                <w:sz w:val="17"/>
                <w:szCs w:val="17"/>
              </w:rPr>
              <w:t xml:space="preserve">)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96.77 % (30/31)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96.88 % (31/32)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100 % (12/12)</w:t>
            </w:r>
          </w:p>
        </w:tc>
      </w:tr>
    </w:tbl>
    <w:p>
      <w:pPr>
        <w:pStyle w:val="Heading2"/>
        <w:keepNext/>
      </w:pPr>
      <w:r>
        <w:t xml:space="preserve">3.4 Análisis</w:t>
      </w:r>
    </w:p>
    <w:p>
      <w:pPr>
        <w:spacing w:after="140" w:line="276"/>
        <w:jc w:val="both"/>
      </w:pPr>
      <w:r>
        <w:rPr>
          <w:b/>
          <w:bCs/>
        </w:rPr>
        <w:t xml:space="preserve">Cumplimiento.</w:t>
      </w:r>
      <w:r>
        <w:t xml:space="preserve"> El backend alcanza 100 % de líneas y 100 % de ramas; el frontend, 99.53 % y 97.53 %. Ambos superan el mínimo de 85 %. El módulo del cálculo de la tarifa (</w:t>
      </w:r>
      <w:r>
        <w:rPr>
          <w:rFonts w:ascii="Courier New" w:cs="Courier New" w:eastAsia="Courier New" w:hAnsi="Courier New"/>
          <w:sz w:val="20"/>
          <w:szCs w:val="20"/>
        </w:rPr>
        <w:t xml:space="preserve">calculate-shipping-cost.ts</w:t>
      </w:r>
      <w:r>
        <w:t xml:space="preserve">) tiene 100 % de líneas y ramas, lo que concuerda con el análisis de caminos: los 7 caminos factibles recorren todas las aristas del CFG.</w:t>
      </w:r>
    </w:p>
    <w:p>
      <w:pPr>
        <w:spacing w:after="140" w:line="276"/>
        <w:jc w:val="both"/>
      </w:pPr>
      <w:r>
        <w:rPr>
          <w:b/>
          <w:bCs/>
        </w:rPr>
        <w:t xml:space="preserve">Evolución del backend.</w:t>
      </w:r>
      <w:r>
        <w:t xml:space="preserve"> La primera medición, con las pruebas de caja negra y caja blanca ya incorporadas, dio 96.06 % de líneas pero 81.63 % de ramas (40 de 49), por debajo del umbral. Las ramas sin cubrir estaban fuera del cálculo de la tarifa: la lectura de configuración (</w:t>
      </w:r>
      <w:r>
        <w:rPr>
          <w:rFonts w:ascii="Courier New" w:cs="Courier New" w:eastAsia="Courier New" w:hAnsi="Courier New"/>
          <w:sz w:val="20"/>
          <w:szCs w:val="20"/>
        </w:rPr>
        <w:t xml:space="preserve">config.ts</w:t>
      </w:r>
      <w:r>
        <w:t xml:space="preserve">), la respuesta 500 y los errores 4xx propios de Express (</w:t>
      </w:r>
      <w:r>
        <w:rPr>
          <w:rFonts w:ascii="Courier New" w:cs="Courier New" w:eastAsia="Courier New" w:hAnsi="Courier New"/>
          <w:sz w:val="20"/>
          <w:szCs w:val="20"/>
        </w:rPr>
        <w:t xml:space="preserve">error-handler.ts</w:t>
      </w:r>
      <w:r>
        <w:t xml:space="preserve">) y las dependencias por defecto de </w:t>
      </w:r>
      <w:r>
        <w:rPr>
          <w:rFonts w:ascii="Courier New" w:cs="Courier New" w:eastAsia="Courier New" w:hAnsi="Courier New"/>
          <w:sz w:val="20"/>
          <w:szCs w:val="20"/>
        </w:rPr>
        <w:t xml:space="preserve">ShippingService</w:t>
      </w:r>
      <w:r>
        <w:t xml:space="preserve">. Se añadieron 8 pruebas y el backend llegó al 100 % en las cuatro métricas.</w:t>
      </w:r>
    </w:p>
    <w:p>
      <w:pPr>
        <w:spacing w:after="140" w:line="276"/>
        <w:jc w:val="both"/>
      </w:pPr>
      <w:r>
        <w:rPr>
          <w:b/>
          <w:bCs/>
        </w:rPr>
        <w:t xml:space="preserve">Evolución del frontend.</w:t>
      </w:r>
      <w:r>
        <w:t xml:space="preserve"> La primera medición dio 60.24 % de líneas y 57.74 % de ramas con 38 pruebas: los ViewModels estaban cubiertos, pero las páginas, la navegación, el tema, los servicios HTTP y los avisos no tenían pruebas. Se añadieron 89 pruebas, hasta 127: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Cliente HTTP y servicios, con </w:t>
      </w:r>
      <w:r>
        <w:rPr>
          <w:rFonts w:ascii="Courier New" w:cs="Courier New" w:eastAsia="Courier New" w:hAnsi="Courier New"/>
          <w:sz w:val="20"/>
          <w:szCs w:val="20"/>
        </w:rPr>
        <w:t xml:space="preserve">fetch</w:t>
      </w:r>
      <w:r>
        <w:t xml:space="preserve"> simulado: respuestas correctas, errores de la API, fallo de red y cancelación.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Tema dinámico: preferencias guardadas o corruptas, almacenamiento no disponible y modo oscuro del sistema.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Hooks de desplazamiento, visibilidad y consultas de medios, incluido el renderizado en servidor.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Integración de la aplicación: enrutado, navegación principal, página no encontrada y menú de tema.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Páginas de órdenes (listado, búsqueda, detalle, estados vacío, de error y de reintento) y flujo completo de creación de una orden desde el cotizador.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Errores inesperados y peticiones canceladas en los ViewModels.</w:t>
      </w:r>
    </w:p>
    <w:p>
      <w:pPr>
        <w:spacing w:after="140" w:line="276"/>
        <w:jc w:val="both"/>
      </w:pPr>
      <w:r>
        <w:rPr>
          <w:b/>
          <w:bCs/>
        </w:rPr>
        <w:t xml:space="preserve">Pendiente sin cubrir (frontend).</w:t>
      </w:r>
      <w:r>
        <w:t xml:space="preserve"> Quedan 2 líneas y 9 ramas, en su mayoría guardas defensivas que la interfaz no puede alcanzar: </w:t>
      </w:r>
      <w:r>
        <w:rPr>
          <w:rFonts w:ascii="Courier New" w:cs="Courier New" w:eastAsia="Courier New" w:hAnsi="Courier New"/>
          <w:sz w:val="20"/>
          <w:szCs w:val="20"/>
        </w:rPr>
        <w:t xml:space="preserve">QuotePage</w:t>
      </w:r>
      <w:r>
        <w:t xml:space="preserve"> comprueba que exista una cotización antes de crear la orden, pero el panel solo se muestra cuando la hay; </w:t>
      </w:r>
      <w:r>
        <w:rPr>
          <w:rFonts w:ascii="Courier New" w:cs="Courier New" w:eastAsia="Courier New" w:hAnsi="Courier New"/>
          <w:sz w:val="20"/>
          <w:szCs w:val="20"/>
        </w:rPr>
        <w:t xml:space="preserve">SegmentedButton</w:t>
      </w:r>
      <w:r>
        <w:t xml:space="preserve"> comprueba que exista la opción siguiente, que siempre existe; y </w:t>
      </w:r>
      <w:r>
        <w:rPr>
          <w:rFonts w:ascii="Courier New" w:cs="Courier New" w:eastAsia="Courier New" w:hAnsi="Courier New"/>
          <w:sz w:val="20"/>
          <w:szCs w:val="20"/>
        </w:rPr>
        <w:t xml:space="preserve">useQuoteViewModel</w:t>
      </w:r>
      <w:r>
        <w:t xml:space="preserve"> descarta las respuestas de peticiones ya canceladas. El resto son estilos condicionales de </w:t>
      </w:r>
      <w:r>
        <w:rPr>
          <w:rFonts w:ascii="Courier New" w:cs="Courier New" w:eastAsia="Courier New" w:hAnsi="Courier New"/>
          <w:sz w:val="20"/>
          <w:szCs w:val="20"/>
        </w:rPr>
        <w:t xml:space="preserve">QuoteSummary</w:t>
      </w:r>
      <w:r>
        <w:t xml:space="preserve"> y el envío del formulario con la tecla Intro en </w:t>
      </w:r>
      <w:r>
        <w:rPr>
          <w:rFonts w:ascii="Courier New" w:cs="Courier New" w:eastAsia="Courier New" w:hAnsi="Courier New"/>
          <w:sz w:val="20"/>
          <w:szCs w:val="20"/>
        </w:rPr>
        <w:t xml:space="preserve">ShipmentForm</w:t>
      </w:r>
      <w:r>
        <w:t xml:space="preserve">.</w:t>
      </w:r>
    </w:p>
    <w:p>
      <w:pPr>
        <w:spacing w:after="140" w:line="276"/>
        <w:jc w:val="both"/>
      </w:pPr>
      <w:r>
        <w:rPr>
          <w:b/>
          <w:bCs/>
        </w:rPr>
        <w:t xml:space="preserve">Limitaciones.</w:t>
      </w:r>
      <w:r>
        <w:t xml:space="preserve"> La cobertura indica qué código se ejecutó durante las pruebas, no que esté libre de defectos. En particular, no valida los supuestos de negocio (tarifa plana por tramo, descuento y recargo en cadena, redondeo): una regla mal interpretada puede quedar cubierta al 100 % y seguir siendo incorrecta (Marick, 1999). Esos supuestos se verifican con las pruebas de caja negra y deben confirmarse con el docente. Las pruebas del frontend simulan el backend; la integración real entre ambos se verificó manualmente en el navegador, en escritorio y en móvil. El camino C8 es infactible y no puede cubrirse.</w:t>
      </w:r>
    </w:p>
    <w:p>
      <w:r>
        <w:br w:type="page"/>
      </w:r>
    </w:p>
    <w:p>
      <w:pPr>
        <w:pStyle w:val="Heading1"/>
      </w:pPr>
      <w:r>
        <w:t xml:space="preserve">4. Matriz de mapeo teórico-práctico</w:t>
      </w:r>
    </w:p>
    <w:p>
      <w:pPr>
        <w:spacing w:after="140" w:line="276"/>
        <w:jc w:val="both"/>
      </w:pPr>
      <w:r>
        <w:t xml:space="preserve">La tabla recorre la matriz conceptual del marco teórico e indica dónde está la evidencia de cada concepto en este informe y en el repositorio:</w:t>
      </w:r>
    </w:p>
    <w:p>
      <w:pPr>
        <w:keepNext/>
        <w:spacing w:after="80" w:before="120"/>
      </w:pPr>
      <w:r>
        <w:rPr>
          <w:b/>
          <w:bCs/>
          <w:sz w:val="19"/>
          <w:szCs w:val="19"/>
        </w:rPr>
        <w:t xml:space="preserve">Tabla 24. Matriz de mapeo teórico-práctico</w:t>
      </w:r>
    </w:p>
    <w:tbl>
      <w:tblPr>
        <w:tblW w:type="dxa" w:w="936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200"/>
        <w:gridCol w:w="3060"/>
        <w:gridCol w:w="2900"/>
        <w:gridCol w:w="1200"/>
      </w:tblGrid>
      <w:tr>
        <w:trPr>
          <w:cantSplit/>
          <w:tblHeader/>
        </w:trPr>
        <w:tc>
          <w:tcPr>
            <w:tcW w:type="dxa" w:w="22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Concepto teórico</w:t>
            </w:r>
          </w:p>
        </w:tc>
        <w:tc>
          <w:tcPr>
            <w:tcW w:type="dxa" w:w="306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Aplicación en FastExpress</w:t>
            </w:r>
          </w:p>
        </w:tc>
        <w:tc>
          <w:tcPr>
            <w:tcW w:type="dxa" w:w="29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Evidencia</w:t>
            </w:r>
          </w:p>
        </w:tc>
        <w:tc>
          <w:tcPr>
            <w:tcW w:type="dxa" w:w="12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Partición de Equivalencia (EP)</w:t>
            </w:r>
          </w:p>
        </w:tc>
        <w:tc>
          <w:tcPr>
            <w:tcW w:type="dxa" w:w="3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Clases de Peso P1 a P5 (+ P6) y de Tipo de Cliente y Tipo de Envío, válidas e inválidas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Secciones 1.2 y 1.6 (Tablas 7, 8 y 12)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Cumplido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Análisis de Valores Límite (BVA)</w:t>
            </w:r>
          </w:p>
        </w:tc>
        <w:tc>
          <w:tcPr>
            <w:tcW w:type="dxa" w:w="3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Pesos −0.01, 0.00, 0.01, 0.02, 4.99, 5.00, 5.01, 5.02, 19.99, 20.00 y 20.01 kg (BR-02)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Sección 1.3 (Tabla 9)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Cumplido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Tabla de decisión</w:t>
            </w:r>
          </w:p>
        </w:tc>
        <w:tc>
          <w:tcPr>
            <w:tcW w:type="dxa" w:w="3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6 reglas: 3 tipos de cliente × 2 tipos de envío, más la regla de rechazo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Sección 1.7 (Tablas 13 y 14)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Cumplido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Grafo de Flujo de Control (CFG)</w:t>
            </w:r>
          </w:p>
        </w:tc>
        <w:tc>
          <w:tcPr>
            <w:tcW w:type="dxa" w:w="3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Función principal de cálculo de la tarifa (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5"/>
                <w:szCs w:val="15"/>
              </w:rPr>
              <w:t xml:space="preserve">calculateShippingCost</w:t>
            </w:r>
            <w:r>
              <w:rPr>
                <w:b w:val="false"/>
                <w:bCs w:val="false"/>
                <w:sz w:val="17"/>
                <w:szCs w:val="17"/>
              </w:rPr>
              <w:t xml:space="preserve">)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Sección 2.2 (Figura 3, Tabla 16)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Cumplido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Complejidad ciclomática V(G)</w:t>
            </w:r>
          </w:p>
        </w:tc>
        <w:tc>
          <w:tcPr>
            <w:tcW w:type="dxa" w:w="3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V(G) = 8 sobre el código real (el marco estimaba ≈ 7)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Secciones 2.3 y 2.4 (Tablas 17 a 20)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Cumplido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Cobertura de líneas y de ramas</w:t>
            </w:r>
          </w:p>
        </w:tc>
        <w:tc>
          <w:tcPr>
            <w:tcW w:type="dxa" w:w="3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Mínimo de 85 % obligatorio en backend y frontend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Sección 3 (Figuras 4 y 5, Tablas 21 a 23)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Cumplido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API REST y códigos HTTP</w:t>
            </w:r>
          </w:p>
        </w:tc>
        <w:tc>
          <w:tcPr>
            <w:tcW w:type="dxa" w:w="3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Endpoint de cotización: 200, 400 y 422 con campo y motivo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Introducción (Tabla 3);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5"/>
                <w:szCs w:val="15"/>
              </w:rPr>
              <w:t xml:space="preserve">backend/tests/api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Cumplido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Prueba unitaria y patrón AAA</w:t>
            </w:r>
          </w:p>
        </w:tc>
        <w:tc>
          <w:tcPr>
            <w:tcW w:type="dxa" w:w="3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Pruebas del cálculo con valores esperados calculados a mano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5"/>
                <w:szCs w:val="15"/>
              </w:rPr>
              <w:t xml:space="preserve">backend/tests/domain</w:t>
            </w:r>
            <w:r>
              <w:rPr>
                <w:b w:val="false"/>
                <w:bCs w:val="false"/>
                <w:sz w:val="17"/>
                <w:szCs w:val="17"/>
              </w:rPr>
              <w:t xml:space="preserve"> y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5"/>
                <w:szCs w:val="15"/>
              </w:rPr>
              <w:t xml:space="preserve">backend/tests/white-box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Cumplido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Pruebas de integración de endpoints</w:t>
            </w:r>
          </w:p>
        </w:tc>
        <w:tc>
          <w:tcPr>
            <w:tcW w:type="dxa" w:w="3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Petición HTTP completa con validación y respuesta JSON (Supertest)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5"/>
                <w:szCs w:val="15"/>
              </w:rPr>
              <w:t xml:space="preserve">backend/tests/api</w:t>
            </w:r>
            <w:r>
              <w:rPr>
                <w:b w:val="false"/>
                <w:bCs w:val="false"/>
                <w:sz w:val="17"/>
                <w:szCs w:val="17"/>
              </w:rPr>
              <w:t xml:space="preserve"> y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5"/>
                <w:szCs w:val="15"/>
              </w:rPr>
              <w:t xml:space="preserve">backend/tests/black-box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Cumplido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Validación cliente vs. servidor</w:t>
            </w:r>
          </w:p>
        </w:tc>
        <w:tc>
          <w:tcPr>
            <w:tcW w:type="dxa" w:w="3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Peso validado en el formulario y de nuevo en el backend, con el mismo mensaje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Sección 1.8; casos UI-04, UI-05, UI-16 y UI-17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Cumplido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Retroalimentación de errores</w:t>
            </w:r>
          </w:p>
        </w:tc>
        <w:tc>
          <w:tcPr>
            <w:tcW w:type="dxa" w:w="3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Mensaje junto al campo Peso cuando supera 20 kg, accesible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Sección 1.8 (Figuras 1 y 2); casos UI-04 y UI-16</w:t>
            </w:r>
          </w:p>
        </w:tc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Cumplido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Conclusiones</w:t>
      </w:r>
    </w:p>
    <w:p>
      <w:pPr>
        <w:keepNext/>
        <w:spacing w:after="80" w:before="120"/>
      </w:pPr>
      <w:r>
        <w:rPr>
          <w:b/>
          <w:bCs/>
          <w:sz w:val="19"/>
          <w:szCs w:val="19"/>
        </w:rPr>
        <w:t xml:space="preserve">Tabla 25. Estado de los entregables de calidad</w:t>
      </w:r>
    </w:p>
    <w:tbl>
      <w:tblPr>
        <w:tblW w:type="dxa" w:w="936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3000"/>
        <w:gridCol w:w="4960"/>
        <w:gridCol w:w="1400"/>
      </w:tblGrid>
      <w:tr>
        <w:trPr>
          <w:cantSplit/>
          <w:tblHeader/>
        </w:trPr>
        <w:tc>
          <w:tcPr>
            <w:tcW w:type="dxa" w:w="30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Requisito</w:t>
            </w:r>
          </w:p>
        </w:tc>
        <w:tc>
          <w:tcPr>
            <w:tcW w:type="dxa" w:w="496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Evidencia</w:t>
            </w:r>
          </w:p>
        </w:tc>
        <w:tc>
          <w:tcPr>
            <w:tcW w:type="dxa" w:w="1400"/>
            <w:tcBorders>
              <w:bottom w:val="single" w:color="000000" w:sz="1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Matriz de casos de caja negra (EP, BVA, tablas de decisión)</w:t>
            </w:r>
          </w:p>
        </w:tc>
        <w:tc>
          <w:tcPr>
            <w:tcW w:type="dxa" w:w="49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Sección 1: 68 casos de diseño; 49 pruebas de API y 17 casos de interfaz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Cumplido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CFG del algoritmo de cálculo</w:t>
            </w:r>
          </w:p>
        </w:tc>
        <w:tc>
          <w:tcPr>
            <w:tcW w:type="dxa" w:w="49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Sección 2.2, Figura 3: 16 nodos y 22 aristas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Cumplido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Complejidad ciclomática paso a paso</w:t>
            </w:r>
          </w:p>
        </w:tc>
        <w:tc>
          <w:tcPr>
            <w:tcW w:type="dxa" w:w="49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Sección 2.3: V(G) = 8 por los tres métodos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Cumplido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Caminos independientes identificados y probados</w:t>
            </w:r>
          </w:p>
        </w:tc>
        <w:tc>
          <w:tcPr>
            <w:tcW w:type="dxa" w:w="49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Sección 2.4: 7 caminos factibles probados; 1 infactible justificado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Cumplido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Pruebas automatizadas (unitarias y de API)</w:t>
            </w:r>
          </w:p>
        </w:tc>
        <w:tc>
          <w:tcPr>
            <w:tcW w:type="dxa" w:w="49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107 pruebas en el backend y 127 en el frontend, sin fallos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Cumplido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Cobertura mínima de 85 % en líneas y ramas</w:t>
            </w:r>
          </w:p>
        </w:tc>
        <w:tc>
          <w:tcPr>
            <w:tcW w:type="dxa" w:w="49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Backend: 100 % de líneas y 100 % de ramas. Frontend: 99.53 % y 97.53 %. Umbral obligatorio en ambos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Cumplido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Alineación con el marco teórico</w:t>
            </w:r>
          </w:p>
        </w:tc>
        <w:tc>
          <w:tcPr>
            <w:tcW w:type="dxa" w:w="49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Sección 4: los 11 conceptos de la matriz tienen evidencia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Cumplido</w:t>
            </w:r>
          </w:p>
        </w:tc>
      </w:tr>
    </w:tbl>
    <w:p>
      <w:pPr>
        <w:spacing w:after="120"/>
      </w:pPr>
    </w:p>
    <w:p>
      <w:pPr>
        <w:spacing w:after="140" w:line="276"/>
        <w:jc w:val="both"/>
      </w:pPr>
      <w:r>
        <w:t xml:space="preserve">Las reglas BR-01 a BR-04 se verificaron desde la especificación (caja negra) y desde la estructura del código (caja blanca), con resultados consistentes y siguiendo los supuestos del marco teórico. Esos supuestos (tarifa plana por tramo, descuento y recargo en cadena, 422 para el rechazo y definición del Monto) siguen pendientes de confirmar con el docente; si alguno cambia, las pruebas de caja negra indican exactamente qué resultados se ven afectados. Como mejora se recomienda añadir pruebas de extremo a extremo que ejecuten el frontend contra el backend real.</w:t>
      </w:r>
    </w:p>
    <w:p>
      <w:r>
        <w:br w:type="page"/>
      </w:r>
    </w:p>
    <w:p>
      <w:pPr>
        <w:pStyle w:val="Heading1"/>
      </w:pPr>
      <w:r>
        <w:t xml:space="preserve">Referencias</w:t>
      </w:r>
    </w:p>
    <w:p>
      <w:pPr>
        <w:spacing w:after="100" w:line="264"/>
        <w:ind w:left="720" w:hanging="720"/>
      </w:pPr>
      <w:r>
        <w:t xml:space="preserve">Ammann, P., y Offutt, J. (2016). </w:t>
      </w:r>
      <w:r>
        <w:rPr>
          <w:i/>
          <w:iCs/>
        </w:rPr>
        <w:t xml:space="preserve">Introduction to Software Testing</w:t>
      </w:r>
      <w:r>
        <w:t xml:space="preserve"> (2.ª ed.). Cambridge University Press.</w:t>
      </w:r>
    </w:p>
    <w:p>
      <w:pPr>
        <w:spacing w:after="100" w:line="264"/>
        <w:ind w:left="720" w:hanging="720"/>
      </w:pPr>
      <w:r>
        <w:t xml:space="preserve">Fielding, R. T. (2000). </w:t>
      </w:r>
      <w:r>
        <w:rPr>
          <w:i/>
          <w:iCs/>
        </w:rPr>
        <w:t xml:space="preserve">Architectural Styles and the Design of Network-based Software Architectures</w:t>
      </w:r>
      <w:r>
        <w:t xml:space="preserve"> [Tesis doctoral]. University of California, Irvine.</w:t>
      </w:r>
    </w:p>
    <w:p>
      <w:pPr>
        <w:spacing w:after="100" w:line="264"/>
        <w:ind w:left="720" w:hanging="720"/>
      </w:pPr>
      <w:r>
        <w:t xml:space="preserve">Fowler, M. (2018). </w:t>
      </w:r>
      <w:r>
        <w:rPr>
          <w:i/>
          <w:iCs/>
        </w:rPr>
        <w:t xml:space="preserve">The Practical Test Pyramid</w:t>
      </w:r>
      <w:r>
        <w:t xml:space="preserve">. martinfowler.com.</w:t>
      </w:r>
    </w:p>
    <w:p>
      <w:pPr>
        <w:spacing w:after="100" w:line="264"/>
        <w:ind w:left="720" w:hanging="720"/>
      </w:pPr>
      <w:r>
        <w:t xml:space="preserve">IETF. (2022). </w:t>
      </w:r>
      <w:r>
        <w:rPr>
          <w:i/>
          <w:iCs/>
        </w:rPr>
        <w:t xml:space="preserve">RFC 9110: HTTP Semantics</w:t>
      </w:r>
      <w:r>
        <w:t xml:space="preserve">.</w:t>
      </w:r>
    </w:p>
    <w:p>
      <w:pPr>
        <w:spacing w:after="100" w:line="264"/>
        <w:ind w:left="720" w:hanging="720"/>
      </w:pPr>
      <w:r>
        <w:t xml:space="preserve">ISO/IEC/IEEE. (2021). </w:t>
      </w:r>
      <w:r>
        <w:rPr>
          <w:i/>
          <w:iCs/>
        </w:rPr>
        <w:t xml:space="preserve">ISO/IEC/IEEE 29119-4:2021, Software and systems engineering – Software testing – Part 4: Test techniques</w:t>
      </w:r>
      <w:r>
        <w:t xml:space="preserve">.</w:t>
      </w:r>
    </w:p>
    <w:p>
      <w:pPr>
        <w:spacing w:after="100" w:line="264"/>
        <w:ind w:left="720" w:hanging="720"/>
      </w:pPr>
      <w:r>
        <w:t xml:space="preserve">ISTQB. (2023). </w:t>
      </w:r>
      <w:r>
        <w:rPr>
          <w:i/>
          <w:iCs/>
        </w:rPr>
        <w:t xml:space="preserve">Certified Tester Foundation Level Syllabus v4.0</w:t>
      </w:r>
      <w:r>
        <w:t xml:space="preserve">.</w:t>
      </w:r>
    </w:p>
    <w:p>
      <w:pPr>
        <w:spacing w:after="100" w:line="264"/>
        <w:ind w:left="720" w:hanging="720"/>
      </w:pPr>
      <w:r>
        <w:t xml:space="preserve">Marick, B. (1999). </w:t>
      </w:r>
      <w:r>
        <w:rPr>
          <w:i/>
          <w:iCs/>
        </w:rPr>
        <w:t xml:space="preserve">How to Misuse Code Coverage</w:t>
      </w:r>
      <w:r>
        <w:t xml:space="preserve">. Testing Foundations.</w:t>
      </w:r>
    </w:p>
    <w:p>
      <w:pPr>
        <w:spacing w:after="100" w:line="264"/>
        <w:ind w:left="720" w:hanging="720"/>
      </w:pPr>
      <w:r>
        <w:t xml:space="preserve">McCabe, T. J. (1976). A complexity measure. </w:t>
      </w:r>
      <w:r>
        <w:rPr>
          <w:i/>
          <w:iCs/>
        </w:rPr>
        <w:t xml:space="preserve">IEEE Transactions on Software Engineering, SE-2</w:t>
      </w:r>
      <w:r>
        <w:t xml:space="preserve">(4), 308–320.</w:t>
      </w:r>
    </w:p>
    <w:p>
      <w:pPr>
        <w:spacing w:after="100" w:line="264"/>
        <w:ind w:left="720" w:hanging="720"/>
      </w:pPr>
      <w:r>
        <w:t xml:space="preserve">Myers, G. J., Sandler, C., y Badgett, T. (2011). </w:t>
      </w:r>
      <w:r>
        <w:rPr>
          <w:i/>
          <w:iCs/>
        </w:rPr>
        <w:t xml:space="preserve">The Art of Software Testing</w:t>
      </w:r>
      <w:r>
        <w:t xml:space="preserve"> (3.ª ed.). Wiley.</w:t>
      </w:r>
    </w:p>
    <w:p>
      <w:pPr>
        <w:spacing w:after="100" w:line="264"/>
        <w:ind w:left="720" w:hanging="720"/>
      </w:pPr>
      <w:r>
        <w:t xml:space="preserve">Nielsen, J. (2024). </w:t>
      </w:r>
      <w:r>
        <w:rPr>
          <w:i/>
          <w:iCs/>
        </w:rPr>
        <w:t xml:space="preserve">10 Usability Heuristics for User Interface Design</w:t>
      </w:r>
      <w:r>
        <w:t xml:space="preserve">. Nielsen Norman Group.</w:t>
      </w:r>
    </w:p>
    <w:p>
      <w:pPr>
        <w:spacing w:after="100" w:line="264"/>
        <w:ind w:left="720" w:hanging="720"/>
      </w:pPr>
      <w:r>
        <w:t xml:space="preserve">OWASP. (2024). </w:t>
      </w:r>
      <w:r>
        <w:rPr>
          <w:i/>
          <w:iCs/>
        </w:rPr>
        <w:t xml:space="preserve">Input Validation Cheat Sheet</w:t>
      </w:r>
      <w:r>
        <w:t xml:space="preserve">. OWASP Cheat Sheet Series.</w:t>
      </w:r>
    </w:p>
    <w:p>
      <w:pPr>
        <w:spacing w:after="100" w:line="264"/>
        <w:ind w:left="720" w:hanging="720"/>
      </w:pPr>
      <w:r>
        <w:t xml:space="preserve">W3C. (2023). </w:t>
      </w:r>
      <w:r>
        <w:rPr>
          <w:i/>
          <w:iCs/>
        </w:rPr>
        <w:t xml:space="preserve">Web Content Accessibility Guidelines (WCAG) 2.2</w:t>
      </w:r>
      <w:r>
        <w:t xml:space="preserve">, criterio 3.3.1 Error Identification.</w:t>
      </w:r>
    </w:p>
    <w:p>
      <w:pPr>
        <w:spacing w:after="100" w:line="264"/>
        <w:ind w:left="720" w:hanging="720"/>
      </w:pPr>
      <w:r>
        <w:t xml:space="preserve">Wake, B. (2001). </w:t>
      </w:r>
      <w:r>
        <w:rPr>
          <w:i/>
          <w:iCs/>
        </w:rPr>
        <w:t xml:space="preserve">3A – Arrange, Act, Assert</w:t>
      </w:r>
      <w:r>
        <w:t xml:space="preserve">. XP123.</w:t>
      </w:r>
    </w:p>
    <w:p>
      <w:pPr>
        <w:pStyle w:val="Heading2"/>
        <w:keepNext/>
      </w:pPr>
      <w:r>
        <w:t xml:space="preserve">Anexo: cómo reproducir los resultados</w:t>
      </w:r>
    </w:p>
    <w:p>
      <w:pPr>
        <w:keepNext/>
        <w:pBdr>
          <w:top w:val="single" w:color="000000" w:sz="4" w:space="6"/>
          <w:left w:val="single" w:color="000000" w:sz="4" w:space="6"/>
          <w:bottom w:val="single" w:color="000000" w:sz="4" w:space="6"/>
          <w:right w:val="single" w:color="000000" w:sz="4" w:space="6"/>
        </w:pBdr>
        <w:spacing w:after="0" w:line="240"/>
        <w:ind w:left="140" w:right="140"/>
      </w:pPr>
      <w:r>
        <w:rPr>
          <w:rFonts w:ascii="Courier New" w:cs="Courier New" w:eastAsia="Courier New" w:hAnsi="Courier New"/>
          <w:sz w:val="16"/>
          <w:szCs w:val="16"/>
        </w:rPr>
        <w:t xml:space="preserve">npm install                       # dependencias de backend y frontend</w:t>
      </w:r>
    </w:p>
    <w:p>
      <w:pPr>
        <w:keepNext/>
        <w:pBdr>
          <w:top w:val="single" w:color="000000" w:sz="4" w:space="6"/>
          <w:left w:val="single" w:color="000000" w:sz="4" w:space="6"/>
          <w:bottom w:val="single" w:color="000000" w:sz="4" w:space="6"/>
          <w:right w:val="single" w:color="000000" w:sz="4" w:space="6"/>
        </w:pBdr>
        <w:spacing w:after="0" w:line="240"/>
        <w:ind w:left="140" w:right="140"/>
      </w:pPr>
      <w:r>
        <w:rPr>
          <w:rFonts w:ascii="Courier New" w:cs="Courier New" w:eastAsia="Courier New" w:hAnsi="Courier New"/>
          <w:sz w:val="16"/>
          <w:szCs w:val="16"/>
        </w:rPr>
        <w:t xml:space="preserve">npm test                          # todas las pruebas</w:t>
      </w:r>
    </w:p>
    <w:p>
      <w:pPr>
        <w:keepNext/>
        <w:pBdr>
          <w:top w:val="single" w:color="000000" w:sz="4" w:space="6"/>
          <w:left w:val="single" w:color="000000" w:sz="4" w:space="6"/>
          <w:bottom w:val="single" w:color="000000" w:sz="4" w:space="6"/>
          <w:right w:val="single" w:color="000000" w:sz="4" w:space="6"/>
        </w:pBdr>
        <w:spacing w:after="0" w:line="240"/>
        <w:ind w:left="140" w:right="140"/>
      </w:pPr>
      <w:r>
        <w:rPr>
          <w:rFonts w:ascii="Courier New" w:cs="Courier New" w:eastAsia="Courier New" w:hAnsi="Courier New"/>
          <w:sz w:val="16"/>
          <w:szCs w:val="16"/>
        </w:rPr>
        <w:t xml:space="preserve">npm run coverage                  # cobertura de ambos proyectos (umbral de 85 %)</w:t>
      </w:r>
    </w:p>
    <w:p>
      <w:pPr>
        <w:keepNext/>
        <w:pBdr>
          <w:top w:val="single" w:color="000000" w:sz="4" w:space="6"/>
          <w:left w:val="single" w:color="000000" w:sz="4" w:space="6"/>
          <w:bottom w:val="single" w:color="000000" w:sz="4" w:space="6"/>
          <w:right w:val="single" w:color="000000" w:sz="4" w:space="6"/>
        </w:pBdr>
        <w:spacing w:after="0" w:line="240"/>
        <w:ind w:left="140" w:right="140"/>
      </w:pPr>
      <w:r>
        <w:rPr>
          <w:rFonts w:ascii="Courier New" w:cs="Courier New" w:eastAsia="Courier New" w:hAnsi="Courier New"/>
          <w:sz w:val="16"/>
          <w:szCs w:val="16"/>
        </w:rPr>
        <w:t xml:space="preserve">npm run test:coverage -w backend  # solo backend</w:t>
      </w:r>
    </w:p>
    <w:p>
      <w:pPr>
        <w:keepNext w:val="false"/>
        <w:pBdr>
          <w:top w:val="single" w:color="000000" w:sz="4" w:space="6"/>
          <w:left w:val="single" w:color="000000" w:sz="4" w:space="6"/>
          <w:bottom w:val="single" w:color="000000" w:sz="4" w:space="6"/>
          <w:right w:val="single" w:color="000000" w:sz="4" w:space="6"/>
        </w:pBdr>
        <w:spacing w:after="0" w:line="240"/>
        <w:ind w:left="140" w:right="140"/>
      </w:pPr>
      <w:r>
        <w:rPr>
          <w:rFonts w:ascii="Courier New" w:cs="Courier New" w:eastAsia="Courier New" w:hAnsi="Courier New"/>
          <w:sz w:val="16"/>
          <w:szCs w:val="16"/>
        </w:rPr>
        <w:t xml:space="preserve">npm run test:coverage -w frontend # solo frontend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000000"/>
    </w:rPr>
  </w:style>
  <w:style w:type="paragraph" w:styleId="Heading5">
    <w:name w:val="Heading 5"/>
    <w:basedOn w:val="Normal"/>
    <w:next w:val="Normal"/>
    <w:qFormat/>
    <w:rPr>
      <w:color w:val="000000"/>
    </w:rPr>
  </w:style>
  <w:style w:type="paragraph" w:styleId="Heading6">
    <w:name w:val="Heading 6"/>
    <w:basedOn w:val="Normal"/>
    <w:next w:val="Normal"/>
    <w:qFormat/>
    <w:rPr>
      <w:color w:val="00000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000000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00000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keepNext/>
      <w:spacing w:after="240" w:before="0"/>
      <w:outlineLvl w:val="0"/>
    </w:pPr>
    <w:rPr>
      <w:rFonts w:ascii="Calibri" w:cs="Calibri" w:eastAsia="Calibri" w:hAnsi="Calibri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Calibri" w:cs="Calibri" w:eastAsia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20"/>
      <w:outlineLvl w:val="2"/>
    </w:pPr>
    <w:rPr>
      <w:rFonts w:ascii="Calibri" w:cs="Calibri" w:eastAsia="Calibri" w:hAnsi="Calibri"/>
      <w:b/>
      <w:bCs/>
      <w:color w:val="00000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b56951792fe288ceeb8eb860b74b34ce4ad65378.png"/><Relationship Id="rId8" Type="http://schemas.openxmlformats.org/officeDocument/2006/relationships/image" Target="media/ee5fe3cc5aaf679dd5fa04fc529aa0899117c755.png"/><Relationship Id="rId9" Type="http://schemas.openxmlformats.org/officeDocument/2006/relationships/image" Target="media/23c485cc11ae7a10c8c0043f905b250424b511e1.png"/><Relationship Id="rId10" Type="http://schemas.openxmlformats.org/officeDocument/2006/relationships/image" Target="media/27db6126c3a3cf8568a2c268e25ae399b8dce9d6.png"/><Relationship Id="rId11" Type="http://schemas.openxmlformats.org/officeDocument/2006/relationships/image" Target="media/b57240f44f86113adda2ca914a66b2b2d5e62f3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Calidad de Software — FastExpress</dc:title>
  <dc:creator>FastExpress</dc:creator>
  <dc:description>Informe técnico de pruebas: caja negra, caja blanca y cobertura de código</dc:description>
  <cp:lastModifiedBy>Un-named</cp:lastModifiedBy>
  <cp:revision>1</cp:revision>
  <dcterms:created xsi:type="dcterms:W3CDTF">2026-10-28T20:20:19.488Z</dcterms:created>
  <dcterms:modified xsi:type="dcterms:W3CDTF">2026-10-28T20:20:19.491Z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