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4B34" w:rsidRDefault="00DA087F" w:rsidP="00DA087F">
      <w:pPr>
        <w:rPr>
          <w:rFonts w:eastAsiaTheme="minorEastAsia"/>
        </w:rPr>
      </w:pPr>
      <w:r>
        <w:t xml:space="preserve">A </w:t>
      </w:r>
      <m:oMath>
        <m:r>
          <w:rPr>
            <w:rFonts w:ascii="Cambria Math" w:hAnsi="Cambria Math"/>
          </w:rPr>
          <m:t>2d</m:t>
        </m:r>
      </m:oMath>
      <w:r>
        <w:rPr>
          <w:rFonts w:eastAsiaTheme="minorEastAsia"/>
        </w:rPr>
        <w:t xml:space="preserve"> </w:t>
      </w:r>
      <w:r>
        <w:t xml:space="preserve">box of area </w:t>
      </w:r>
      <m:oMath>
        <m:r>
          <w:rPr>
            <w:rFonts w:ascii="Cambria Math" w:hAnsi="Cambria Math"/>
          </w:rPr>
          <m:t>A=1×1</m:t>
        </m:r>
      </m:oMath>
      <w:r>
        <w:rPr>
          <w:rFonts w:eastAsiaTheme="minorEastAsia"/>
        </w:rPr>
        <w:t xml:space="preserve"> is filled with </w:t>
      </w:r>
      <m:oMath>
        <m:r>
          <w:rPr>
            <w:rFonts w:ascii="Cambria Math" w:eastAsiaTheme="minorEastAsia" w:hAnsi="Cambria Math"/>
          </w:rPr>
          <m:t>N</m:t>
        </m:r>
      </m:oMath>
      <w:r>
        <w:rPr>
          <w:rFonts w:eastAsiaTheme="minorEastAsia"/>
        </w:rPr>
        <w:t xml:space="preserve"> uniformly distributed point particles. The density of points in the box </w:t>
      </w:r>
      <w:proofErr w:type="gramStart"/>
      <w:r>
        <w:rPr>
          <w:rFonts w:eastAsiaTheme="minorEastAsia"/>
        </w:rPr>
        <w:t xml:space="preserve">is </w:t>
      </w:r>
      <w:proofErr w:type="gramEnd"/>
      <m:oMath>
        <m:r>
          <w:rPr>
            <w:rFonts w:ascii="Cambria Math" w:eastAsiaTheme="minorEastAsia" w:hAnsi="Cambria Math"/>
          </w:rPr>
          <m:t>ρ=N/A=N</m:t>
        </m:r>
      </m:oMath>
      <w:r>
        <w:rPr>
          <w:rFonts w:eastAsiaTheme="minorEastAsia"/>
        </w:rPr>
        <w:t>.</w:t>
      </w:r>
    </w:p>
    <w:p w:rsidR="00DA087F" w:rsidRDefault="00DA087F" w:rsidP="00DA087F">
      <w:pPr>
        <w:rPr>
          <w:rFonts w:eastAsiaTheme="minorEastAsia"/>
        </w:rPr>
      </w:pPr>
      <w:r>
        <w:rPr>
          <w:rFonts w:eastAsiaTheme="minorEastAsia"/>
        </w:rPr>
        <w:t xml:space="preserve">Suppose we look at a circle of radius </w:t>
      </w:r>
      <m:oMath>
        <m:r>
          <w:rPr>
            <w:rFonts w:ascii="Cambria Math" w:eastAsiaTheme="minorEastAsia" w:hAnsi="Cambria Math"/>
          </w:rPr>
          <m:t>R</m:t>
        </m:r>
      </m:oMath>
      <w:r>
        <w:rPr>
          <w:rFonts w:eastAsiaTheme="minorEastAsia"/>
        </w:rPr>
        <w:t xml:space="preserve"> centered someplace in the box. If the circle is relatively small and not centered near the outer edges, it is wholly contained in the box. The area of the circle compared to the area of the box </w:t>
      </w:r>
      <w:proofErr w:type="gramStart"/>
      <w:r>
        <w:rPr>
          <w:rFonts w:eastAsiaTheme="minorEastAsia"/>
        </w:rPr>
        <w:t xml:space="preserve">is </w:t>
      </w:r>
      <m:oMath>
        <m:sSup>
          <m:sSupPr>
            <m:ctrlPr>
              <w:rPr>
                <w:rFonts w:ascii="Cambria Math" w:eastAsiaTheme="minorEastAsia" w:hAnsi="Cambria Math"/>
                <w:i/>
              </w:rPr>
            </m:ctrlPr>
          </m:sSupPr>
          <m:e>
            <w:proofErr w:type="gramEnd"/>
            <m:r>
              <w:rPr>
                <w:rFonts w:ascii="Cambria Math" w:eastAsiaTheme="minorEastAsia" w:hAnsi="Cambria Math"/>
              </w:rPr>
              <m:t>π</m:t>
            </m:r>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/A =π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 </w:t>
      </w:r>
    </w:p>
    <w:p w:rsidR="00DA087F" w:rsidRDefault="00DA087F" w:rsidP="00DA087F">
      <w:pPr>
        <w:rPr>
          <w:rFonts w:eastAsiaTheme="minorEastAsia"/>
        </w:rPr>
      </w:pPr>
      <w:r>
        <w:rPr>
          <w:rFonts w:eastAsiaTheme="minorEastAsia"/>
        </w:rPr>
        <w:t>The number of particles within the circle depends on where the circle is located. The average number is just the particle density times the circle area:</w:t>
      </w:r>
    </w:p>
    <w:p w:rsidR="00DA087F" w:rsidRPr="00DA087F" w:rsidRDefault="005A2650" w:rsidP="00DA087F">
      <w:pPr>
        <w:rPr>
          <w:rFonts w:eastAsiaTheme="minorEastAsia"/>
        </w:rPr>
      </w:pPr>
      <m:oMathPara>
        <m:oMath>
          <m:d>
            <m:dPr>
              <m:begChr m:val="〈"/>
              <m:endChr m:val="〉"/>
              <m:ctrlPr>
                <w:rPr>
                  <w:rFonts w:ascii="Cambria Math" w:hAnsi="Cambria Math"/>
                  <w:i/>
                </w:rPr>
              </m:ctrlPr>
            </m:dPr>
            <m:e>
              <m:r>
                <w:rPr>
                  <w:rFonts w:ascii="Cambria Math" w:hAnsi="Cambria Math"/>
                </w:rPr>
                <m:t>N</m:t>
              </m:r>
            </m:e>
          </m:d>
          <m:r>
            <w:rPr>
              <w:rFonts w:ascii="Cambria Math" w:hAnsi="Cambria Math"/>
            </w:rPr>
            <m:t>=ρ×π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=πN</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rsidR="00DA087F" w:rsidRDefault="00DA087F" w:rsidP="00DA087F">
      <w:pPr>
        <w:rPr>
          <w:rFonts w:eastAsiaTheme="minorEastAsia"/>
        </w:rPr>
      </w:pPr>
      <w:r>
        <w:rPr>
          <w:rFonts w:eastAsiaTheme="minorEastAsia"/>
        </w:rPr>
        <w:t xml:space="preserve">This is a stochastic variable which acts Poisson-like so the standard deviation from the mean number of particles is approximately the square root </w:t>
      </w:r>
      <w:proofErr w:type="gramStart"/>
      <w:r>
        <w:rPr>
          <w:rFonts w:eastAsiaTheme="minorEastAsia"/>
        </w:rPr>
        <w:t xml:space="preserve">of </w:t>
      </w:r>
      <w:proofErr w:type="gramEnd"/>
      <m:oMath>
        <m:d>
          <m:dPr>
            <m:begChr m:val="〈"/>
            <m:endChr m:val="〉"/>
            <m:ctrlPr>
              <w:rPr>
                <w:rFonts w:ascii="Cambria Math" w:hAnsi="Cambria Math"/>
                <w:i/>
              </w:rPr>
            </m:ctrlPr>
          </m:dPr>
          <m:e>
            <m:r>
              <w:rPr>
                <w:rFonts w:ascii="Cambria Math" w:hAnsi="Cambria Math"/>
              </w:rPr>
              <m:t>N</m:t>
            </m:r>
          </m:e>
        </m:d>
      </m:oMath>
      <w:r>
        <w:rPr>
          <w:rFonts w:eastAsiaTheme="minorEastAsia"/>
        </w:rPr>
        <w:t>.</w:t>
      </w:r>
    </w:p>
    <w:p w:rsidR="00DA087F" w:rsidRPr="00DA087F" w:rsidRDefault="00DA087F" w:rsidP="00DA087F">
      <w:pPr>
        <w:rPr>
          <w:rFonts w:eastAsiaTheme="minorEastAsia"/>
        </w:rPr>
      </w:pPr>
      <m:oMathPara>
        <m:oMath>
          <m:r>
            <m:rPr>
              <m:sty m:val="p"/>
            </m:rPr>
            <w:rPr>
              <w:rFonts w:ascii="Cambria Math" w:hAnsi="Cambria Math"/>
            </w:rPr>
            <m:t>Δ</m:t>
          </m:r>
          <m:r>
            <w:rPr>
              <w:rFonts w:ascii="Cambria Math" w:hAnsi="Cambria Math"/>
            </w:rPr>
            <m:t>N=</m:t>
          </m:r>
          <m:rad>
            <m:radPr>
              <m:degHide m:val="1"/>
              <m:ctrlPr>
                <w:rPr>
                  <w:rFonts w:ascii="Cambria Math" w:hAnsi="Cambria Math"/>
                  <w:i/>
                </w:rPr>
              </m:ctrlPr>
            </m:radPr>
            <m:deg/>
            <m:e>
              <m:d>
                <m:dPr>
                  <m:begChr m:val="〈"/>
                  <m:endChr m:val="〉"/>
                  <m:ctrlPr>
                    <w:rPr>
                      <w:rFonts w:ascii="Cambria Math" w:hAnsi="Cambria Math"/>
                      <w:i/>
                    </w:rPr>
                  </m:ctrlPr>
                </m:dPr>
                <m:e>
                  <m:r>
                    <w:rPr>
                      <w:rFonts w:ascii="Cambria Math" w:hAnsi="Cambria Math"/>
                    </w:rPr>
                    <m:t>N</m:t>
                  </m:r>
                </m:e>
              </m:d>
            </m:e>
          </m:rad>
          <m:r>
            <w:rPr>
              <w:rFonts w:ascii="Cambria Math" w:hAnsi="Cambria Math"/>
            </w:rPr>
            <m:t>=</m:t>
          </m:r>
          <m:rad>
            <m:radPr>
              <m:degHide m:val="1"/>
              <m:ctrlPr>
                <w:rPr>
                  <w:rFonts w:ascii="Cambria Math" w:hAnsi="Cambria Math"/>
                  <w:i/>
                </w:rPr>
              </m:ctrlPr>
            </m:radPr>
            <m:deg/>
            <m:e>
              <m:r>
                <w:rPr>
                  <w:rFonts w:ascii="Cambria Math" w:hAnsi="Cambria Math"/>
                </w:rPr>
                <m:t>πN</m:t>
              </m:r>
            </m:e>
          </m:rad>
          <m:r>
            <w:rPr>
              <w:rFonts w:ascii="Cambria Math" w:hAnsi="Cambria Math"/>
            </w:rPr>
            <m:t>R</m:t>
          </m:r>
        </m:oMath>
      </m:oMathPara>
    </w:p>
    <w:p w:rsidR="00DA087F" w:rsidRPr="00DA087F" w:rsidRDefault="005A2650" w:rsidP="00DA087F">
      <w:pPr>
        <w:rPr>
          <w:rFonts w:eastAsiaTheme="minorEastAsia"/>
        </w:rPr>
      </w:pPr>
      <m:oMathPara>
        <m:oMath>
          <m:f>
            <m:fPr>
              <m:ctrlPr>
                <w:rPr>
                  <w:rFonts w:ascii="Cambria Math" w:hAnsi="Cambria Math"/>
                  <w:i/>
                </w:rPr>
              </m:ctrlPr>
            </m:fPr>
            <m:num>
              <m:r>
                <m:rPr>
                  <m:sty m:val="p"/>
                </m:rPr>
                <w:rPr>
                  <w:rFonts w:ascii="Cambria Math" w:hAnsi="Cambria Math"/>
                </w:rPr>
                <m:t>Δ</m:t>
              </m:r>
              <m:r>
                <w:rPr>
                  <w:rFonts w:ascii="Cambria Math" w:hAnsi="Cambria Math"/>
                </w:rPr>
                <m:t>N</m:t>
              </m:r>
            </m:num>
            <m:den>
              <m:d>
                <m:dPr>
                  <m:begChr m:val="〈"/>
                  <m:endChr m:val="〉"/>
                  <m:ctrlPr>
                    <w:rPr>
                      <w:rFonts w:ascii="Cambria Math" w:hAnsi="Cambria Math"/>
                      <w:i/>
                    </w:rPr>
                  </m:ctrlPr>
                </m:dPr>
                <m:e>
                  <m:r>
                    <w:rPr>
                      <w:rFonts w:ascii="Cambria Math" w:hAnsi="Cambria Math"/>
                    </w:rPr>
                    <m:t>N</m:t>
                  </m:r>
                </m:e>
              </m: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πN</m:t>
                  </m:r>
                </m:e>
              </m:rad>
              <m:r>
                <w:rPr>
                  <w:rFonts w:ascii="Cambria Math" w:hAnsi="Cambria Math"/>
                </w:rPr>
                <m:t>R</m:t>
              </m:r>
            </m:den>
          </m:f>
        </m:oMath>
      </m:oMathPara>
    </w:p>
    <w:p w:rsidR="00DA087F" w:rsidRDefault="00DA087F" w:rsidP="00DA087F">
      <w:pPr>
        <w:rPr>
          <w:rFonts w:eastAsiaTheme="minorEastAsia"/>
        </w:rPr>
      </w:pPr>
      <w:r>
        <w:rPr>
          <w:rFonts w:eastAsiaTheme="minorEastAsia"/>
        </w:rPr>
        <w:t xml:space="preserve">The coordination number of a particle with all particles within the circle goes </w:t>
      </w:r>
      <w:proofErr w:type="gramStart"/>
      <w:r>
        <w:rPr>
          <w:rFonts w:eastAsiaTheme="minorEastAsia"/>
        </w:rPr>
        <w:t xml:space="preserve">like </w:t>
      </w:r>
      <w:proofErr w:type="gramEnd"/>
      <m:oMath>
        <m:d>
          <m:dPr>
            <m:begChr m:val="〈"/>
            <m:endChr m:val="〉"/>
            <m:ctrlPr>
              <w:rPr>
                <w:rFonts w:ascii="Cambria Math" w:hAnsi="Cambria Math"/>
                <w:i/>
              </w:rPr>
            </m:ctrlPr>
          </m:dPr>
          <m:e>
            <m:r>
              <w:rPr>
                <w:rFonts w:ascii="Cambria Math" w:hAnsi="Cambria Math"/>
              </w:rPr>
              <m:t>N</m:t>
            </m:r>
          </m:e>
        </m:d>
        <m:r>
          <w:rPr>
            <w:rFonts w:ascii="Cambria Math" w:eastAsiaTheme="minorEastAsia" w:hAnsi="Cambria Math"/>
          </w:rPr>
          <m:t>-1</m:t>
        </m:r>
      </m:oMath>
      <w:r>
        <w:rPr>
          <w:rFonts w:eastAsiaTheme="minorEastAsia"/>
        </w:rPr>
        <w:t>:</w:t>
      </w:r>
    </w:p>
    <w:p w:rsidR="00DA087F" w:rsidRPr="00DA087F" w:rsidRDefault="005A2650" w:rsidP="00DA087F">
      <w:pPr>
        <w:rPr>
          <w:rFonts w:eastAsiaTheme="minorEastAsia"/>
        </w:rPr>
      </w:pPr>
      <m:oMathPara>
        <m:oMath>
          <m:d>
            <m:dPr>
              <m:begChr m:val="〈"/>
              <m:endChr m:val="〉"/>
              <m:ctrlPr>
                <w:rPr>
                  <w:rFonts w:ascii="Cambria Math" w:hAnsi="Cambria Math"/>
                  <w:i/>
                </w:rPr>
              </m:ctrlPr>
            </m:dPr>
            <m:e>
              <m:r>
                <w:rPr>
                  <w:rFonts w:ascii="Cambria Math" w:hAnsi="Cambria Math"/>
                </w:rPr>
                <m:t>Z</m:t>
              </m:r>
            </m:e>
          </m:d>
          <m:r>
            <w:rPr>
              <w:rFonts w:ascii="Cambria Math" w:hAnsi="Cambria Math"/>
            </w:rPr>
            <m:t>=πN</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oMath>
      </m:oMathPara>
    </w:p>
    <w:p w:rsidR="00DA087F" w:rsidRPr="00E23359" w:rsidRDefault="00DA087F" w:rsidP="00DA087F">
      <w:pPr>
        <w:rPr>
          <w:rFonts w:eastAsiaTheme="minorEastAsia"/>
        </w:rPr>
      </w:pPr>
      <m:oMathPara>
        <m:oMath>
          <m:r>
            <m:rPr>
              <m:sty m:val="p"/>
            </m:rPr>
            <w:rPr>
              <w:rFonts w:ascii="Cambria Math" w:hAnsi="Cambria Math"/>
            </w:rPr>
            <m:t>Δ</m:t>
          </m:r>
          <m:r>
            <w:rPr>
              <w:rFonts w:ascii="Cambria Math" w:hAnsi="Cambria Math"/>
            </w:rPr>
            <m:t>Z=</m:t>
          </m:r>
          <m:rad>
            <m:radPr>
              <m:degHide m:val="1"/>
              <m:ctrlPr>
                <w:rPr>
                  <w:rFonts w:ascii="Cambria Math" w:hAnsi="Cambria Math"/>
                  <w:i/>
                </w:rPr>
              </m:ctrlPr>
            </m:radPr>
            <m:deg/>
            <m:e>
              <m:r>
                <w:rPr>
                  <w:rFonts w:ascii="Cambria Math" w:hAnsi="Cambria Math"/>
                </w:rPr>
                <m:t>πN</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e>
          </m:rad>
        </m:oMath>
      </m:oMathPara>
    </w:p>
    <w:p w:rsidR="00E23359" w:rsidRDefault="00E23359" w:rsidP="00DA087F">
      <w:pPr>
        <w:rPr>
          <w:rFonts w:eastAsiaTheme="minorEastAsia"/>
        </w:rPr>
      </w:pPr>
    </w:p>
    <w:tbl>
      <w:tblPr>
        <w:tblStyle w:val="TableGrid"/>
        <w:tblW w:w="0" w:type="auto"/>
        <w:tblLook w:val="04A0" w:firstRow="1" w:lastRow="0" w:firstColumn="1" w:lastColumn="0" w:noHBand="0" w:noVBand="1"/>
      </w:tblPr>
      <w:tblGrid>
        <w:gridCol w:w="3116"/>
        <w:gridCol w:w="3117"/>
        <w:gridCol w:w="3117"/>
      </w:tblGrid>
      <w:tr w:rsidR="00E23359" w:rsidTr="00E23359">
        <w:tc>
          <w:tcPr>
            <w:tcW w:w="3116" w:type="dxa"/>
          </w:tcPr>
          <w:p w:rsidR="00E23359" w:rsidRDefault="00E23359" w:rsidP="00E23359">
            <w:pPr>
              <w:jc w:val="center"/>
              <w:rPr>
                <w:rFonts w:eastAsiaTheme="minorEastAsia"/>
              </w:rPr>
            </w:pPr>
            <m:oMathPara>
              <m:oMath>
                <m:r>
                  <w:rPr>
                    <w:rFonts w:ascii="Cambria Math" w:eastAsiaTheme="minorEastAsia" w:hAnsi="Cambria Math"/>
                  </w:rPr>
                  <m:t>N</m:t>
                </m:r>
              </m:oMath>
            </m:oMathPara>
          </w:p>
        </w:tc>
        <w:tc>
          <w:tcPr>
            <w:tcW w:w="3117" w:type="dxa"/>
          </w:tcPr>
          <w:p w:rsidR="00E23359" w:rsidRDefault="00E23359" w:rsidP="00E23359">
            <w:pPr>
              <w:jc w:val="center"/>
              <w:rPr>
                <w:rFonts w:eastAsiaTheme="minorEastAsia"/>
              </w:rPr>
            </w:pPr>
            <m:oMathPara>
              <m:oMath>
                <m:r>
                  <w:rPr>
                    <w:rFonts w:ascii="Cambria Math" w:eastAsiaTheme="minorEastAsia" w:hAnsi="Cambria Math"/>
                  </w:rPr>
                  <m:t>R</m:t>
                </m:r>
              </m:oMath>
            </m:oMathPara>
          </w:p>
        </w:tc>
        <w:tc>
          <w:tcPr>
            <w:tcW w:w="3117" w:type="dxa"/>
          </w:tcPr>
          <w:p w:rsidR="00E23359" w:rsidRDefault="00E23359" w:rsidP="00E23359">
            <w:pPr>
              <w:jc w:val="center"/>
              <w:rPr>
                <w:rFonts w:eastAsiaTheme="minorEastAsia"/>
              </w:rPr>
            </w:pPr>
            <m:oMathPara>
              <m:oMath>
                <m:r>
                  <w:rPr>
                    <w:rFonts w:ascii="Cambria Math" w:eastAsiaTheme="minorEastAsia" w:hAnsi="Cambria Math"/>
                  </w:rPr>
                  <m:t>Z</m:t>
                </m:r>
              </m:oMath>
            </m:oMathPara>
          </w:p>
        </w:tc>
      </w:tr>
      <w:tr w:rsidR="00E23359" w:rsidTr="00E23359">
        <w:tc>
          <w:tcPr>
            <w:tcW w:w="3116" w:type="dxa"/>
          </w:tcPr>
          <w:p w:rsidR="00E23359" w:rsidRDefault="00E23359" w:rsidP="00E23359">
            <w:pPr>
              <w:jc w:val="center"/>
              <w:rPr>
                <w:rFonts w:eastAsiaTheme="minorEastAsia"/>
              </w:rPr>
            </w:pPr>
            <m:oMathPara>
              <m:oMath>
                <m:r>
                  <w:rPr>
                    <w:rFonts w:ascii="Cambria Math" w:eastAsiaTheme="minorEastAsia" w:hAnsi="Cambria Math"/>
                  </w:rPr>
                  <m:t>100</m:t>
                </m:r>
              </m:oMath>
            </m:oMathPara>
          </w:p>
        </w:tc>
        <w:tc>
          <w:tcPr>
            <w:tcW w:w="3117" w:type="dxa"/>
          </w:tcPr>
          <w:p w:rsidR="00E23359" w:rsidRPr="00E23359" w:rsidRDefault="00E23359" w:rsidP="00E23359">
            <w:pPr>
              <w:jc w:val="center"/>
              <w:rPr>
                <w:rFonts w:ascii="Cambria Math" w:eastAsiaTheme="minorEastAsia" w:hAnsi="Cambria Math"/>
                <w:oMath/>
              </w:rPr>
            </w:pPr>
            <m:oMathPara>
              <m:oMath>
                <m:r>
                  <w:rPr>
                    <w:rFonts w:ascii="Cambria Math" w:eastAsiaTheme="minorEastAsia" w:hAnsi="Cambria Math"/>
                  </w:rPr>
                  <m:t>0.2</m:t>
                </m:r>
              </m:oMath>
            </m:oMathPara>
          </w:p>
        </w:tc>
        <w:tc>
          <w:tcPr>
            <w:tcW w:w="3117" w:type="dxa"/>
          </w:tcPr>
          <w:p w:rsidR="00E23359" w:rsidRPr="00E23359" w:rsidRDefault="00E23359" w:rsidP="00E23359">
            <w:pPr>
              <w:jc w:val="center"/>
              <w:rPr>
                <w:rFonts w:ascii="Cambria Math" w:eastAsiaTheme="minorEastAsia" w:hAnsi="Cambria Math"/>
                <w:oMath/>
              </w:rPr>
            </w:pPr>
            <m:oMathPara>
              <m:oMath>
                <m:r>
                  <w:rPr>
                    <w:rFonts w:ascii="Cambria Math" w:eastAsiaTheme="minorEastAsia" w:hAnsi="Cambria Math"/>
                  </w:rPr>
                  <m:t>11.5±3.4</m:t>
                </m:r>
              </m:oMath>
            </m:oMathPara>
          </w:p>
        </w:tc>
      </w:tr>
      <w:tr w:rsidR="00E23359" w:rsidTr="00E23359">
        <w:tc>
          <w:tcPr>
            <w:tcW w:w="3116" w:type="dxa"/>
          </w:tcPr>
          <w:p w:rsidR="00E23359" w:rsidRDefault="00E23359" w:rsidP="00E23359">
            <w:pPr>
              <w:jc w:val="center"/>
              <w:rPr>
                <w:rFonts w:eastAsiaTheme="minorEastAsia"/>
              </w:rPr>
            </w:pPr>
            <m:oMathPara>
              <m:oMath>
                <m:r>
                  <w:rPr>
                    <w:rFonts w:ascii="Cambria Math" w:eastAsiaTheme="minorEastAsia" w:hAnsi="Cambria Math"/>
                  </w:rPr>
                  <m:t>100</m:t>
                </m:r>
              </m:oMath>
            </m:oMathPara>
          </w:p>
        </w:tc>
        <w:tc>
          <w:tcPr>
            <w:tcW w:w="3117" w:type="dxa"/>
          </w:tcPr>
          <w:p w:rsidR="00E23359" w:rsidRPr="00E23359" w:rsidRDefault="00E23359" w:rsidP="00E23359">
            <w:pPr>
              <w:jc w:val="center"/>
              <w:rPr>
                <w:rFonts w:ascii="Cambria Math" w:eastAsiaTheme="minorEastAsia" w:hAnsi="Cambria Math"/>
                <w:oMath/>
              </w:rPr>
            </w:pPr>
            <m:oMathPara>
              <m:oMath>
                <m:r>
                  <w:rPr>
                    <w:rFonts w:ascii="Cambria Math" w:eastAsiaTheme="minorEastAsia" w:hAnsi="Cambria Math"/>
                  </w:rPr>
                  <m:t>0.3</m:t>
                </m:r>
              </m:oMath>
            </m:oMathPara>
          </w:p>
        </w:tc>
        <w:tc>
          <w:tcPr>
            <w:tcW w:w="3117" w:type="dxa"/>
          </w:tcPr>
          <w:p w:rsidR="00E23359" w:rsidRPr="00E23359" w:rsidRDefault="00E23359" w:rsidP="00E23359">
            <w:pPr>
              <w:jc w:val="center"/>
              <w:rPr>
                <w:rFonts w:ascii="Cambria Math" w:eastAsiaTheme="minorEastAsia" w:hAnsi="Cambria Math"/>
                <w:oMath/>
              </w:rPr>
            </w:pPr>
            <m:oMathPara>
              <m:oMath>
                <m:r>
                  <w:rPr>
                    <w:rFonts w:ascii="Cambria Math" w:eastAsiaTheme="minorEastAsia" w:hAnsi="Cambria Math"/>
                  </w:rPr>
                  <m:t>27.3±5.2</m:t>
                </m:r>
              </m:oMath>
            </m:oMathPara>
          </w:p>
        </w:tc>
      </w:tr>
      <w:tr w:rsidR="00E23359" w:rsidTr="00E23359">
        <w:tc>
          <w:tcPr>
            <w:tcW w:w="3116" w:type="dxa"/>
          </w:tcPr>
          <w:p w:rsidR="00E23359" w:rsidRDefault="00E23359" w:rsidP="00E23359">
            <w:pPr>
              <w:jc w:val="center"/>
              <w:rPr>
                <w:rFonts w:eastAsiaTheme="minorEastAsia"/>
              </w:rPr>
            </w:pPr>
            <m:oMathPara>
              <m:oMath>
                <m:r>
                  <w:rPr>
                    <w:rFonts w:ascii="Cambria Math" w:eastAsiaTheme="minorEastAsia" w:hAnsi="Cambria Math"/>
                  </w:rPr>
                  <m:t>100</m:t>
                </m:r>
              </m:oMath>
            </m:oMathPara>
          </w:p>
        </w:tc>
        <w:tc>
          <w:tcPr>
            <w:tcW w:w="3117" w:type="dxa"/>
          </w:tcPr>
          <w:p w:rsidR="00E23359" w:rsidRPr="00E23359" w:rsidRDefault="00E23359" w:rsidP="00E23359">
            <w:pPr>
              <w:jc w:val="center"/>
              <w:rPr>
                <w:rFonts w:ascii="Cambria Math" w:eastAsiaTheme="minorEastAsia" w:hAnsi="Cambria Math"/>
                <w:oMath/>
              </w:rPr>
            </w:pPr>
            <m:oMathPara>
              <m:oMath>
                <m:r>
                  <w:rPr>
                    <w:rFonts w:ascii="Cambria Math" w:eastAsiaTheme="minorEastAsia" w:hAnsi="Cambria Math"/>
                  </w:rPr>
                  <m:t>0.5</m:t>
                </m:r>
              </m:oMath>
            </m:oMathPara>
          </w:p>
        </w:tc>
        <w:tc>
          <w:tcPr>
            <w:tcW w:w="3117" w:type="dxa"/>
          </w:tcPr>
          <w:p w:rsidR="00E23359" w:rsidRPr="00E23359" w:rsidRDefault="00E23359" w:rsidP="00E23359">
            <w:pPr>
              <w:jc w:val="center"/>
              <w:rPr>
                <w:rFonts w:ascii="Cambria Math" w:eastAsiaTheme="minorEastAsia" w:hAnsi="Cambria Math"/>
                <w:oMath/>
              </w:rPr>
            </w:pPr>
            <m:oMathPara>
              <m:oMath>
                <m:r>
                  <w:rPr>
                    <w:rFonts w:ascii="Cambria Math" w:eastAsiaTheme="minorEastAsia" w:hAnsi="Cambria Math"/>
                  </w:rPr>
                  <m:t>77.5±8.8</m:t>
                </m:r>
              </m:oMath>
            </m:oMathPara>
          </w:p>
        </w:tc>
      </w:tr>
    </w:tbl>
    <w:p w:rsidR="00E23359" w:rsidRPr="00DA087F" w:rsidRDefault="00E23359" w:rsidP="004269CD">
      <w:pPr>
        <w:rPr>
          <w:rFonts w:eastAsiaTheme="minorEastAsia"/>
        </w:rPr>
      </w:pPr>
    </w:p>
    <w:p w:rsidR="00E23359" w:rsidRDefault="00E23359" w:rsidP="00E23359">
      <w:pPr>
        <w:rPr>
          <w:rFonts w:eastAsiaTheme="minorEastAsia"/>
        </w:rPr>
      </w:pPr>
      <w:r>
        <w:rPr>
          <w:rFonts w:eastAsiaTheme="minorEastAsia"/>
        </w:rPr>
        <w:t>Particles very close to corners should have about a quarter of these number.</w:t>
      </w:r>
    </w:p>
    <w:p w:rsidR="00DA087F" w:rsidRDefault="00AC1FFA" w:rsidP="00DA087F">
      <w:r>
        <w:t>Another way to estimate the average coordination number is by performing the integral over all points w</w:t>
      </w:r>
      <w:r w:rsidR="009727FC">
        <w:t>here the circle can be centered. This can be estimated by Monte Carlo integration</w:t>
      </w:r>
      <w:r w:rsidR="00257EB4">
        <w:t>.</w:t>
      </w:r>
      <w:bookmarkStart w:id="0" w:name="_GoBack"/>
      <w:bookmarkEnd w:id="0"/>
    </w:p>
    <w:p w:rsidR="00AC1FFA" w:rsidRDefault="00AC1FFA" w:rsidP="00A47294"/>
    <w:sectPr w:rsidR="00AC1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F87"/>
    <w:rsid w:val="00040FF6"/>
    <w:rsid w:val="00177F87"/>
    <w:rsid w:val="00210DED"/>
    <w:rsid w:val="00257EB4"/>
    <w:rsid w:val="004269CD"/>
    <w:rsid w:val="00513A07"/>
    <w:rsid w:val="005A2650"/>
    <w:rsid w:val="009727FC"/>
    <w:rsid w:val="00A47294"/>
    <w:rsid w:val="00AC1FFA"/>
    <w:rsid w:val="00D20ABD"/>
    <w:rsid w:val="00DA087F"/>
    <w:rsid w:val="00E2335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95FA81-AB08-4FE2-810A-484BF4EF0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087F"/>
    <w:rPr>
      <w:color w:val="808080"/>
    </w:rPr>
  </w:style>
  <w:style w:type="table" w:styleId="TableGrid">
    <w:name w:val="Table Grid"/>
    <w:basedOn w:val="TableNormal"/>
    <w:uiPriority w:val="39"/>
    <w:rsid w:val="00E23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Stern Family</dc:creator>
  <cp:keywords/>
  <dc:description/>
  <cp:lastModifiedBy>Stern Family</cp:lastModifiedBy>
  <cp:revision>9</cp:revision>
  <dcterms:created xsi:type="dcterms:W3CDTF">2017-11-01T19:15:00Z</dcterms:created>
  <dcterms:modified xsi:type="dcterms:W3CDTF">2017-11-02T17:25:00Z</dcterms:modified>
</cp:coreProperties>
</file>