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67A66"/>
          <w:sz w:val="96"/>
        </w:rPr>
        <w:t>SIIP</w:t>
      </w:r>
    </w:p>
    <w:p>
      <w:pPr>
        <w:jc w:val="center"/>
      </w:pPr>
      <w:r>
        <w:rPr>
          <w:rFonts w:ascii="Aptos Display" w:hAnsi="Aptos Display"/>
          <w:b/>
          <w:color w:val="143A52"/>
          <w:sz w:val="42"/>
        </w:rPr>
        <w:t>Sistema Integrado de Indicadores de Planeación</w:t>
      </w:r>
    </w:p>
    <w:p>
      <w:pPr>
        <w:jc w:val="center"/>
      </w:pPr>
      <w:r>
        <w:rPr>
          <w:color w:val="5A646E"/>
          <w:sz w:val="28"/>
        </w:rPr>
        <w:t>Salamanca, Guanajuato</w:t>
      </w:r>
    </w:p>
    <w:p/>
    <w:p>
      <w:pPr>
        <w:jc w:val="center"/>
      </w:pPr>
      <w:r>
        <w:rPr>
          <w:b/>
          <w:color w:val="D97732"/>
          <w:sz w:val="30"/>
        </w:rPr>
        <w:t>DOCUMENTO MAESTRO DEL PROYECTO</w:t>
      </w:r>
    </w:p>
    <w:p>
      <w:pPr>
        <w:jc w:val="center"/>
      </w:pPr>
      <w:r>
        <w:rPr>
          <w:sz w:val="20"/>
        </w:rPr>
        <w:t>Alcance funcional · Requisitos · Arquitectura candidata · Plan de trabajo</w:t>
      </w:r>
    </w:p>
    <w:p/>
    <w:p>
      <w:pPr>
        <w:spacing w:before="900"/>
        <w:jc w:val="center"/>
      </w:pPr>
      <w:r>
        <w:rPr>
          <w:sz w:val="18"/>
        </w:rPr>
        <w:t>Versión 1.0  |  12 de octubre de 2026</w:t>
      </w:r>
    </w:p>
    <w:p>
      <w:pPr>
        <w:pStyle w:val="SmallNote"/>
        <w:jc w:val="center"/>
      </w:pPr>
      <w:r>
        <w:t>Borrador de planificación elaborado a partir de los requisitos compartidos y las dos demostraciones HTML. Los puntos señalados como pendientes deben validarse con las personas responsables del SIIP antes de convertirse en reglas definitivas.</w:t>
      </w:r>
    </w:p>
    <w:p>
      <w:r>
        <w:br w:type="page"/>
      </w:r>
    </w:p>
    <w:p>
      <w:pPr>
        <w:pStyle w:val="Heading1"/>
      </w:pPr>
      <w:r>
        <w:t>Control del documento</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43A52"/>
          </w:tcPr>
          <w:p>
            <w:pPr>
              <w:spacing w:after="20"/>
            </w:pPr>
            <w:r/>
            <w:r>
              <w:rPr>
                <w:rFonts w:ascii="Aptos" w:hAnsi="Aptos"/>
                <w:b/>
                <w:color w:val="FFFFFF"/>
                <w:sz w:val="17"/>
              </w:rPr>
              <w:t>Campo</w:t>
            </w:r>
          </w:p>
        </w:tc>
        <w:tc>
          <w:tcPr>
            <w:tcW w:type="dxa" w:w="8352"/>
            <w:vAlign w:val="center"/>
            <w:shd w:fill="143A52"/>
          </w:tcPr>
          <w:p>
            <w:pPr>
              <w:spacing w:after="20"/>
            </w:pPr>
            <w:r/>
            <w:r>
              <w:rPr>
                <w:rFonts w:ascii="Aptos" w:hAnsi="Aptos"/>
                <w:b/>
                <w:color w:val="FFFFFF"/>
                <w:sz w:val="17"/>
              </w:rPr>
              <w:t>Descripción</w:t>
            </w:r>
          </w:p>
        </w:tc>
      </w:tr>
      <w:tr>
        <w:tc>
          <w:tcPr>
            <w:tcW w:type="dxa" w:w="2160"/>
            <w:vAlign w:val="center"/>
          </w:tcPr>
          <w:p>
            <w:pPr>
              <w:spacing w:after="20"/>
            </w:pPr>
            <w:r/>
            <w:r>
              <w:rPr>
                <w:rFonts w:ascii="Aptos" w:hAnsi="Aptos"/>
                <w:b w:val="0"/>
                <w:sz w:val="17"/>
              </w:rPr>
              <w:t>Nombre</w:t>
            </w:r>
          </w:p>
        </w:tc>
        <w:tc>
          <w:tcPr>
            <w:tcW w:type="dxa" w:w="8352"/>
            <w:vAlign w:val="center"/>
          </w:tcPr>
          <w:p>
            <w:pPr>
              <w:spacing w:after="20"/>
            </w:pPr>
            <w:r/>
            <w:r>
              <w:rPr>
                <w:rFonts w:ascii="Aptos" w:hAnsi="Aptos"/>
                <w:b w:val="0"/>
                <w:sz w:val="17"/>
              </w:rPr>
              <w:t>Documento maestro del Sistema Integrado de Indicadores de Planeación (SIIP Salamanca)</w:t>
            </w:r>
          </w:p>
        </w:tc>
      </w:tr>
      <w:tr>
        <w:tc>
          <w:tcPr>
            <w:tcW w:type="dxa" w:w="2160"/>
            <w:vAlign w:val="center"/>
            <w:shd w:fill="F1F5F7"/>
          </w:tcPr>
          <w:p>
            <w:pPr>
              <w:spacing w:after="20"/>
            </w:pPr>
            <w:r/>
            <w:r>
              <w:rPr>
                <w:rFonts w:ascii="Aptos" w:hAnsi="Aptos"/>
                <w:b w:val="0"/>
                <w:sz w:val="17"/>
              </w:rPr>
              <w:t>Versión</w:t>
            </w:r>
          </w:p>
        </w:tc>
        <w:tc>
          <w:tcPr>
            <w:tcW w:type="dxa" w:w="8352"/>
            <w:vAlign w:val="center"/>
            <w:shd w:fill="F1F5F7"/>
          </w:tcPr>
          <w:p>
            <w:pPr>
              <w:spacing w:after="20"/>
            </w:pPr>
            <w:r/>
            <w:r>
              <w:rPr>
                <w:rFonts w:ascii="Aptos" w:hAnsi="Aptos"/>
                <w:b w:val="0"/>
                <w:sz w:val="17"/>
              </w:rPr>
              <w:t>1.0 — borrador inicial</w:t>
            </w:r>
          </w:p>
        </w:tc>
      </w:tr>
      <w:tr>
        <w:tc>
          <w:tcPr>
            <w:tcW w:type="dxa" w:w="2160"/>
            <w:vAlign w:val="center"/>
          </w:tcPr>
          <w:p>
            <w:pPr>
              <w:spacing w:after="20"/>
            </w:pPr>
            <w:r/>
            <w:r>
              <w:rPr>
                <w:rFonts w:ascii="Aptos" w:hAnsi="Aptos"/>
                <w:b w:val="0"/>
                <w:sz w:val="17"/>
              </w:rPr>
              <w:t>Propósito</w:t>
            </w:r>
          </w:p>
        </w:tc>
        <w:tc>
          <w:tcPr>
            <w:tcW w:type="dxa" w:w="8352"/>
            <w:vAlign w:val="center"/>
          </w:tcPr>
          <w:p>
            <w:pPr>
              <w:spacing w:after="20"/>
            </w:pPr>
            <w:r/>
            <w:r>
              <w:rPr>
                <w:rFonts w:ascii="Aptos" w:hAnsi="Aptos"/>
                <w:b w:val="0"/>
                <w:sz w:val="17"/>
              </w:rPr>
              <w:t>Centralizar el alcance, las funciones propuestas, las reglas conocidas, las decisiones pendientes y la estrategia de implementación.</w:t>
            </w:r>
          </w:p>
        </w:tc>
      </w:tr>
      <w:tr>
        <w:tc>
          <w:tcPr>
            <w:tcW w:type="dxa" w:w="2160"/>
            <w:vAlign w:val="center"/>
            <w:shd w:fill="F1F5F7"/>
          </w:tcPr>
          <w:p>
            <w:pPr>
              <w:spacing w:after="20"/>
            </w:pPr>
            <w:r/>
            <w:r>
              <w:rPr>
                <w:rFonts w:ascii="Aptos" w:hAnsi="Aptos"/>
                <w:b w:val="0"/>
                <w:sz w:val="17"/>
              </w:rPr>
              <w:t>Estado</w:t>
            </w:r>
          </w:p>
        </w:tc>
        <w:tc>
          <w:tcPr>
            <w:tcW w:type="dxa" w:w="8352"/>
            <w:vAlign w:val="center"/>
            <w:shd w:fill="F1F5F7"/>
          </w:tcPr>
          <w:p>
            <w:pPr>
              <w:spacing w:after="20"/>
            </w:pPr>
            <w:r/>
            <w:r>
              <w:rPr>
                <w:rFonts w:ascii="Aptos" w:hAnsi="Aptos"/>
                <w:b w:val="0"/>
                <w:sz w:val="17"/>
              </w:rPr>
              <w:t>Documento de trabajo; no sustituye la validación formal de la institución.</w:t>
            </w:r>
          </w:p>
        </w:tc>
      </w:tr>
      <w:tr>
        <w:tc>
          <w:tcPr>
            <w:tcW w:type="dxa" w:w="2160"/>
            <w:vAlign w:val="center"/>
          </w:tcPr>
          <w:p>
            <w:pPr>
              <w:spacing w:after="20"/>
            </w:pPr>
            <w:r/>
            <w:r>
              <w:rPr>
                <w:rFonts w:ascii="Aptos" w:hAnsi="Aptos"/>
                <w:b w:val="0"/>
                <w:sz w:val="17"/>
              </w:rPr>
              <w:t>Plazo de referencia</w:t>
            </w:r>
          </w:p>
        </w:tc>
        <w:tc>
          <w:tcPr>
            <w:tcW w:type="dxa" w:w="8352"/>
            <w:vAlign w:val="center"/>
          </w:tcPr>
          <w:p>
            <w:pPr>
              <w:spacing w:after="20"/>
            </w:pPr>
            <w:r/>
            <w:r>
              <w:rPr>
                <w:rFonts w:ascii="Aptos" w:hAnsi="Aptos"/>
                <w:b w:val="0"/>
                <w:sz w:val="17"/>
              </w:rPr>
              <w:t>Aproximadamente cuatro meses, sujeto a confirmación de fechas, equipo disponible y prioridades.</w:t>
            </w:r>
          </w:p>
        </w:tc>
      </w:tr>
      <w:tr>
        <w:tc>
          <w:tcPr>
            <w:tcW w:type="dxa" w:w="2160"/>
            <w:vAlign w:val="center"/>
            <w:shd w:fill="F1F5F7"/>
          </w:tcPr>
          <w:p>
            <w:pPr>
              <w:spacing w:after="20"/>
            </w:pPr>
            <w:r/>
            <w:r>
              <w:rPr>
                <w:rFonts w:ascii="Aptos" w:hAnsi="Aptos"/>
                <w:b w:val="0"/>
                <w:sz w:val="17"/>
              </w:rPr>
              <w:t>Usuarios previstos</w:t>
            </w:r>
          </w:p>
        </w:tc>
        <w:tc>
          <w:tcPr>
            <w:tcW w:type="dxa" w:w="8352"/>
            <w:vAlign w:val="center"/>
            <w:shd w:fill="F1F5F7"/>
          </w:tcPr>
          <w:p>
            <w:pPr>
              <w:spacing w:after="20"/>
            </w:pPr>
            <w:r/>
            <w:r>
              <w:rPr>
                <w:rFonts w:ascii="Aptos" w:hAnsi="Aptos"/>
                <w:b w:val="0"/>
                <w:sz w:val="17"/>
              </w:rPr>
              <w:t>Personal institucional autorizado y responsables designados de las dependencias municipales.</w:t>
            </w:r>
          </w:p>
        </w:tc>
      </w:tr>
    </w:tbl>
    <w:p>
      <w:pPr>
        <w:spacing w:after="20"/>
      </w:pPr>
    </w:p>
    <w:p>
      <w:pPr>
        <w:pStyle w:val="Heading1"/>
      </w:pPr>
      <w:r>
        <w:t>Cómo interpretar este documento</w:t>
      </w:r>
    </w:p>
    <w:p>
      <w:pPr>
        <w:pStyle w:val="ListBullet"/>
        <w:spacing w:after="40"/>
      </w:pPr>
      <w:r>
        <w:t>Requisito identificado: función o necesidad mencionada en las conversaciones o visible en las demostraciones.</w:t>
      </w:r>
    </w:p>
    <w:p>
      <w:pPr>
        <w:pStyle w:val="ListBullet"/>
        <w:spacing w:after="40"/>
      </w:pPr>
      <w:r>
        <w:t>Propuesta: mejora recomendada para robustecer el sistema, pendiente de priorización y validación.</w:t>
      </w:r>
    </w:p>
    <w:p>
      <w:pPr>
        <w:pStyle w:val="ListBullet"/>
        <w:spacing w:after="40"/>
      </w:pPr>
      <w:r>
        <w:t>Pendiente de definición: decisión que no debe codificarse como regla oficial hasta recibir confirmación.</w:t>
      </w:r>
    </w:p>
    <w:p>
      <w:pPr>
        <w:pStyle w:val="ListBullet"/>
        <w:spacing w:after="40"/>
      </w:pPr>
      <w:r>
        <w:t>Las demostraciones contienen datos simulados. Sus cifras, indicadores y configuraciones no deben tratarse como datos oficiales.</w:t>
      </w:r>
    </w:p>
    <w:p>
      <w:pPr>
        <w:pStyle w:val="Heading1"/>
      </w:pPr>
      <w:r>
        <w:t>Índice</w:t>
      </w:r>
    </w:p>
    <w:p>
      <w:pPr>
        <w:pStyle w:val="ListBullet"/>
        <w:spacing w:after="40"/>
      </w:pPr>
      <w:r>
        <w:t>1. Resumen ejecutivo</w:t>
      </w:r>
    </w:p>
    <w:p>
      <w:pPr>
        <w:pStyle w:val="ListBullet"/>
        <w:spacing w:after="40"/>
      </w:pPr>
      <w:r>
        <w:t>2. Objetivos y alcance</w:t>
      </w:r>
    </w:p>
    <w:p>
      <w:pPr>
        <w:pStyle w:val="ListBullet"/>
        <w:spacing w:after="40"/>
      </w:pPr>
      <w:r>
        <w:t>3. Usuarios, roles y permisos</w:t>
      </w:r>
    </w:p>
    <w:p>
      <w:pPr>
        <w:pStyle w:val="ListBullet"/>
        <w:spacing w:after="40"/>
      </w:pPr>
      <w:r>
        <w:t>4. Módulos del sistema</w:t>
      </w:r>
    </w:p>
    <w:p>
      <w:pPr>
        <w:pStyle w:val="ListBullet"/>
        <w:spacing w:after="40"/>
      </w:pPr>
      <w:r>
        <w:t>5. Catálogo de 45 funciones adicionales</w:t>
      </w:r>
    </w:p>
    <w:p>
      <w:pPr>
        <w:pStyle w:val="ListBullet"/>
        <w:spacing w:after="40"/>
      </w:pPr>
      <w:r>
        <w:t>6. Reglas de negocio y criterios de integridad</w:t>
      </w:r>
    </w:p>
    <w:p>
      <w:pPr>
        <w:pStyle w:val="ListBullet"/>
        <w:spacing w:after="40"/>
      </w:pPr>
      <w:r>
        <w:t>7. Datos e indicadores</w:t>
      </w:r>
    </w:p>
    <w:p>
      <w:pPr>
        <w:pStyle w:val="ListBullet"/>
        <w:spacing w:after="40"/>
      </w:pPr>
      <w:r>
        <w:t>8. Arquitectura y tecnologías candidatas</w:t>
      </w:r>
    </w:p>
    <w:p>
      <w:pPr>
        <w:pStyle w:val="ListBullet"/>
        <w:spacing w:after="40"/>
      </w:pPr>
      <w:r>
        <w:t>9. Seguridad, privacidad y auditoría</w:t>
      </w:r>
    </w:p>
    <w:p>
      <w:pPr>
        <w:pStyle w:val="ListBullet"/>
        <w:spacing w:after="40"/>
      </w:pPr>
      <w:r>
        <w:t>10. Reportes, análisis y visualización</w:t>
      </w:r>
    </w:p>
    <w:p>
      <w:pPr>
        <w:pStyle w:val="ListBullet"/>
        <w:spacing w:after="40"/>
      </w:pPr>
      <w:r>
        <w:t>11. Plan de trabajo sugerido para cuatro meses</w:t>
      </w:r>
    </w:p>
    <w:p>
      <w:pPr>
        <w:pStyle w:val="ListBullet"/>
        <w:spacing w:after="40"/>
      </w:pPr>
      <w:r>
        <w:t>12. Riesgos y dependencias</w:t>
      </w:r>
    </w:p>
    <w:p>
      <w:pPr>
        <w:pStyle w:val="ListBullet"/>
        <w:spacing w:after="40"/>
      </w:pPr>
      <w:r>
        <w:t>13. Decisiones que deben validarse</w:t>
      </w:r>
    </w:p>
    <w:p>
      <w:pPr>
        <w:pStyle w:val="ListBullet"/>
        <w:spacing w:after="40"/>
      </w:pPr>
      <w:r>
        <w:t>14. Criterios de aceptación</w:t>
      </w:r>
    </w:p>
    <w:p>
      <w:pPr>
        <w:pStyle w:val="ListBullet"/>
        <w:spacing w:after="40"/>
      </w:pPr>
      <w:r>
        <w:t>15. Estrategia de pruebas y despliegue</w:t>
      </w:r>
    </w:p>
    <w:p>
      <w:pPr>
        <w:pStyle w:val="ListBullet"/>
        <w:spacing w:after="40"/>
      </w:pPr>
      <w:r>
        <w:t>16. Guía de continuidad entre cuentas de ChatGPT</w:t>
      </w:r>
    </w:p>
    <w:p>
      <w:pPr>
        <w:pStyle w:val="ListBullet"/>
        <w:spacing w:after="40"/>
      </w:pPr>
      <w:r>
        <w:t>17. Glosario</w:t>
      </w:r>
    </w:p>
    <w:p>
      <w:pPr>
        <w:pStyle w:val="Heading1"/>
      </w:pPr>
      <w:r>
        <w:t>1. Resumen ejecutivo</w:t>
      </w:r>
    </w:p>
    <w:p>
      <w:r>
        <w:t>El Sistema Integrado de Indicadores de Planeación (SIIP Salamanca) se plantea como una aplicación web de uso interno para concentrar, calcular, revisar, validar, analizar y reportar información de indicadores municipales. El universo inicial informado es de 129 indicadores relacionados con temas como desempleo, pobreza, vialidades pavimentadas, parques y jardines, entre otros.</w:t>
      </w:r>
    </w:p>
    <w:p>
      <w:r>
        <w:t>El sistema debe permitir que personal autorizado capture información de los periodos correspondientes; que personas revisoras analicen resultados y evidencias; que perfiles con atribuciones suficientes validen la información; y que las personas usuarias consulten tableros, tendencias, reportes, tablas y gráficas. También se contempla un panel de administración y un chat interno.</w:t>
      </w:r>
    </w:p>
    <w:p>
      <w:r>
        <w:t>El objetivo no es solamente mostrar cifras: cada resultado debe poder interpretarse y rastrearse hasta su fórmula, periodo, fuente, responsable, evidencia, revisión y versión de los datos. La ausencia de datos, la calidad de la captura y el desempeño del indicador deben mostrarse como conceptos distintos.</w:t>
      </w:r>
    </w:p>
    <w:p>
      <w:pPr>
        <w:pStyle w:val="Heading2"/>
      </w:pPr>
      <w:r>
        <w:t>1.1 Referencias funcionales revisadas</w:t>
      </w:r>
    </w:p>
    <w:p>
      <w:pPr>
        <w:pStyle w:val="ListBullet"/>
        <w:spacing w:after="40"/>
      </w:pPr>
      <w:r>
        <w:t>SIIP_Demo_Dashboard_Completo.html: muestra un tablero general y por agrupación temática, tarjetas de resumen, evolución de índices, semaforización, indicadores prioritarios, cobertura y alertas. Incluye datos simulados.</w:t>
      </w:r>
    </w:p>
    <w:p>
      <w:pPr>
        <w:pStyle w:val="ListBullet"/>
        <w:spacing w:after="40"/>
      </w:pPr>
      <w:r>
        <w:t>SIIP_Demo_Operativo_VF.html: muestra un flujo operativo con catálogo y fichas técnicas, captura y cálculo preliminar, cola de revisión, validación u observación, y configuración administrativa. Incluye indicadores de ejemplo y datos simulados.</w:t>
      </w:r>
    </w:p>
    <w:p>
      <w:r>
        <w:t>Estas demostraciones son referencias de diseño y funcionamiento. Antes del desarrollo definitivo debe confirmarse qué elementos son obligatorios, cuáles son ilustrativos y cuáles deben modificarse.</w:t>
      </w:r>
    </w:p>
    <w:p>
      <w:pPr>
        <w:pStyle w:val="Heading1"/>
      </w:pPr>
      <w:r>
        <w:t>2. Objetivos y alcance</w:t>
      </w:r>
    </w:p>
    <w:p>
      <w:pPr>
        <w:pStyle w:val="Heading2"/>
      </w:pPr>
      <w:r>
        <w:t>2.1 Objetivo general</w:t>
      </w:r>
    </w:p>
    <w:p>
      <w:r>
        <w:t>Diseñar e implementar una plataforma interna confiable para gestionar el ciclo de vida de los indicadores municipales, desde su definición técnica y captura periódica hasta la revisión, validación, análisis, seguimiento y generación de reportes.</w:t>
      </w:r>
    </w:p>
    <w:p>
      <w:pPr>
        <w:pStyle w:val="Heading2"/>
      </w:pPr>
      <w:r>
        <w:t>2.2 Objetivos específicos</w:t>
      </w:r>
    </w:p>
    <w:p>
      <w:pPr>
        <w:pStyle w:val="ListBullet"/>
        <w:spacing w:after="40"/>
      </w:pPr>
      <w:r>
        <w:t>Centralizar el catálogo de los 129 indicadores y sus fichas técnicas.</w:t>
      </w:r>
    </w:p>
    <w:p>
      <w:pPr>
        <w:pStyle w:val="ListBullet"/>
        <w:spacing w:after="40"/>
      </w:pPr>
      <w:r>
        <w:t>Establecer responsables, dependencias, periodicidades, metas, líneas base y fuentes de verificación.</w:t>
      </w:r>
    </w:p>
    <w:p>
      <w:pPr>
        <w:pStyle w:val="ListBullet"/>
        <w:spacing w:after="40"/>
      </w:pPr>
      <w:r>
        <w:t>Calcular resultados mediante fórmulas documentadas y reglas configurables por indicador.</w:t>
      </w:r>
    </w:p>
    <w:p>
      <w:pPr>
        <w:pStyle w:val="ListBullet"/>
        <w:spacing w:after="40"/>
      </w:pPr>
      <w:r>
        <w:t>Implementar un flujo controlado de captura, revisión, corrección, validación y cierre de periodos.</w:t>
      </w:r>
    </w:p>
    <w:p>
      <w:pPr>
        <w:pStyle w:val="ListBullet"/>
        <w:spacing w:after="40"/>
      </w:pPr>
      <w:r>
        <w:t>Visualizar desempeño, tendencias, metas, cobertura y calidad de los datos sin confundir sus significados.</w:t>
      </w:r>
    </w:p>
    <w:p>
      <w:pPr>
        <w:pStyle w:val="ListBullet"/>
        <w:spacing w:after="40"/>
      </w:pPr>
      <w:r>
        <w:t>Generar reportes ejecutivos y exportaciones para análisis interno.</w:t>
      </w:r>
    </w:p>
    <w:p>
      <w:pPr>
        <w:pStyle w:val="ListBullet"/>
        <w:spacing w:after="40"/>
      </w:pPr>
      <w:r>
        <w:t>Proteger la información mediante roles, auditoría, respaldos y controles de acceso.</w:t>
      </w:r>
    </w:p>
    <w:p>
      <w:pPr>
        <w:pStyle w:val="ListBullet"/>
        <w:spacing w:after="40"/>
      </w:pPr>
      <w:r>
        <w:t>Facilitar la coordinación interna mediante comentarios, notificaciones y chat.</w:t>
      </w:r>
    </w:p>
    <w:p>
      <w:pPr>
        <w:pStyle w:val="Heading2"/>
      </w:pPr>
      <w:r>
        <w:t>2.3 Alcance inicial</w:t>
      </w:r>
    </w:p>
    <w:p>
      <w:pPr>
        <w:pStyle w:val="ListBullet"/>
        <w:spacing w:after="40"/>
      </w:pPr>
      <w:r>
        <w:t>Aplicación web de acceso restringido a personal autorizado.</w:t>
      </w:r>
    </w:p>
    <w:p>
      <w:pPr>
        <w:pStyle w:val="ListBullet"/>
        <w:spacing w:after="40"/>
      </w:pPr>
      <w:r>
        <w:t>Gestión de indicadores, dependencias, periodos, capturas, evidencias, revisión, validación, dashboard, reportes, administración y colaboración.</w:t>
      </w:r>
    </w:p>
    <w:p>
      <w:pPr>
        <w:pStyle w:val="ListBullet"/>
        <w:spacing w:after="40"/>
      </w:pPr>
      <w:r>
        <w:t>Carga inicial del catálogo oficial y definición gradual de reglas de cálculo con las personas responsables.</w:t>
      </w:r>
    </w:p>
    <w:p>
      <w:pPr>
        <w:pStyle w:val="ListBullet"/>
        <w:spacing w:after="40"/>
      </w:pPr>
      <w:r>
        <w:t>Diseño adaptable a computadoras y, si el tiempo lo permite, tabletas y móviles.</w:t>
      </w:r>
    </w:p>
    <w:p>
      <w:pPr>
        <w:pStyle w:val="Heading2"/>
      </w:pPr>
      <w:r>
        <w:t>2.4 Fuera del alcance hasta autorización expresa</w:t>
      </w:r>
    </w:p>
    <w:p>
      <w:pPr>
        <w:pStyle w:val="ListBullet"/>
        <w:spacing w:after="40"/>
      </w:pPr>
      <w:r>
        <w:t>Portal público de consulta ciudadana o publicación automática de información.</w:t>
      </w:r>
    </w:p>
    <w:p>
      <w:pPr>
        <w:pStyle w:val="ListBullet"/>
        <w:spacing w:after="40"/>
      </w:pPr>
      <w:r>
        <w:t>Integraciones con sistemas externos, sistemas presupuestarios o servicios cartográficos sin especificación y autorización.</w:t>
      </w:r>
    </w:p>
    <w:p>
      <w:pPr>
        <w:pStyle w:val="ListBullet"/>
        <w:spacing w:after="40"/>
      </w:pPr>
      <w:r>
        <w:t>Decisiones automáticas sobre política pública, evaluaciones oficiales o calificaciones definitivas generadas por IA.</w:t>
      </w:r>
    </w:p>
    <w:p>
      <w:pPr>
        <w:pStyle w:val="ListBullet"/>
        <w:spacing w:after="40"/>
      </w:pPr>
      <w:r>
        <w:t>Migración masiva de datos históricos no entregados, depurados o aprobados por la institución.</w:t>
      </w:r>
    </w:p>
    <w:p>
      <w:pPr>
        <w:pStyle w:val="Heading1"/>
      </w:pPr>
      <w:r>
        <w:t>3. Usuarios, roles y permisos</w:t>
      </w:r>
    </w:p>
    <w:p>
      <w:r>
        <w:t>Los siguientes perfiles son una propuesta inicial inspirada en la demostración operativa. Deben confirmarse con la institución y pueden dividirse o combinarse según el flujo real.</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43A52"/>
          </w:tcPr>
          <w:p>
            <w:pPr>
              <w:spacing w:after="20"/>
            </w:pPr>
            <w:r/>
            <w:r>
              <w:rPr>
                <w:rFonts w:ascii="Aptos" w:hAnsi="Aptos"/>
                <w:b/>
                <w:color w:val="FFFFFF"/>
                <w:sz w:val="15"/>
              </w:rPr>
              <w:t>Perfil propuesto</w:t>
            </w:r>
          </w:p>
        </w:tc>
        <w:tc>
          <w:tcPr>
            <w:tcW w:type="dxa" w:w="4896"/>
            <w:vAlign w:val="center"/>
            <w:shd w:fill="143A52"/>
          </w:tcPr>
          <w:p>
            <w:pPr>
              <w:spacing w:after="20"/>
            </w:pPr>
            <w:r/>
            <w:r>
              <w:rPr>
                <w:rFonts w:ascii="Aptos" w:hAnsi="Aptos"/>
                <w:b/>
                <w:color w:val="FFFFFF"/>
                <w:sz w:val="15"/>
              </w:rPr>
              <w:t>Acciones típicas</w:t>
            </w:r>
          </w:p>
        </w:tc>
        <w:tc>
          <w:tcPr>
            <w:tcW w:type="dxa" w:w="3456"/>
            <w:vAlign w:val="center"/>
            <w:shd w:fill="143A52"/>
          </w:tcPr>
          <w:p>
            <w:pPr>
              <w:spacing w:after="20"/>
            </w:pPr>
            <w:r/>
            <w:r>
              <w:rPr>
                <w:rFonts w:ascii="Aptos" w:hAnsi="Aptos"/>
                <w:b/>
                <w:color w:val="FFFFFF"/>
                <w:sz w:val="15"/>
              </w:rPr>
              <w:t>Restricciones recomendadas</w:t>
            </w:r>
          </w:p>
        </w:tc>
      </w:tr>
      <w:tr>
        <w:tc>
          <w:tcPr>
            <w:tcW w:type="dxa" w:w="2304"/>
            <w:vAlign w:val="center"/>
          </w:tcPr>
          <w:p>
            <w:pPr>
              <w:spacing w:after="20"/>
            </w:pPr>
            <w:r/>
            <w:r>
              <w:rPr>
                <w:rFonts w:ascii="Aptos" w:hAnsi="Aptos"/>
                <w:b w:val="0"/>
                <w:sz w:val="15"/>
              </w:rPr>
              <w:t>Administrador</w:t>
            </w:r>
          </w:p>
        </w:tc>
        <w:tc>
          <w:tcPr>
            <w:tcW w:type="dxa" w:w="4896"/>
            <w:vAlign w:val="center"/>
          </w:tcPr>
          <w:p>
            <w:pPr>
              <w:spacing w:after="20"/>
            </w:pPr>
            <w:r/>
            <w:r>
              <w:rPr>
                <w:rFonts w:ascii="Aptos" w:hAnsi="Aptos"/>
                <w:b w:val="0"/>
                <w:sz w:val="15"/>
              </w:rPr>
              <w:t>Gestionar usuarios, roles, catálogos, periodos, configuración, permisos y parámetros; consultar auditoría; autorizar acciones excepcionales.</w:t>
            </w:r>
          </w:p>
        </w:tc>
        <w:tc>
          <w:tcPr>
            <w:tcW w:type="dxa" w:w="3456"/>
            <w:vAlign w:val="center"/>
          </w:tcPr>
          <w:p>
            <w:pPr>
              <w:spacing w:after="20"/>
            </w:pPr>
            <w:r/>
            <w:r>
              <w:rPr>
                <w:rFonts w:ascii="Aptos" w:hAnsi="Aptos"/>
                <w:b w:val="0"/>
                <w:sz w:val="15"/>
              </w:rPr>
              <w:t>No debe borrar sin rastro datos validados. Las acciones críticas deben quedar auditadas.</w:t>
            </w:r>
          </w:p>
        </w:tc>
      </w:tr>
      <w:tr>
        <w:tc>
          <w:tcPr>
            <w:tcW w:type="dxa" w:w="2304"/>
            <w:vAlign w:val="center"/>
            <w:shd w:fill="F1F5F7"/>
          </w:tcPr>
          <w:p>
            <w:pPr>
              <w:spacing w:after="20"/>
            </w:pPr>
            <w:r/>
            <w:r>
              <w:rPr>
                <w:rFonts w:ascii="Aptos" w:hAnsi="Aptos"/>
                <w:b w:val="0"/>
                <w:sz w:val="15"/>
              </w:rPr>
              <w:t>Captura / Responsable de dependencia</w:t>
            </w:r>
          </w:p>
        </w:tc>
        <w:tc>
          <w:tcPr>
            <w:tcW w:type="dxa" w:w="4896"/>
            <w:vAlign w:val="center"/>
            <w:shd w:fill="F1F5F7"/>
          </w:tcPr>
          <w:p>
            <w:pPr>
              <w:spacing w:after="20"/>
            </w:pPr>
            <w:r/>
            <w:r>
              <w:rPr>
                <w:rFonts w:ascii="Aptos" w:hAnsi="Aptos"/>
                <w:b w:val="0"/>
                <w:sz w:val="15"/>
              </w:rPr>
              <w:t>Capturar información de los indicadores asignados, adjuntar evidencias, enviar a revisión y responder observaciones.</w:t>
            </w:r>
          </w:p>
        </w:tc>
        <w:tc>
          <w:tcPr>
            <w:tcW w:type="dxa" w:w="3456"/>
            <w:vAlign w:val="center"/>
            <w:shd w:fill="F1F5F7"/>
          </w:tcPr>
          <w:p>
            <w:pPr>
              <w:spacing w:after="20"/>
            </w:pPr>
            <w:r/>
            <w:r>
              <w:rPr>
                <w:rFonts w:ascii="Aptos" w:hAnsi="Aptos"/>
                <w:b w:val="0"/>
                <w:sz w:val="15"/>
              </w:rPr>
              <w:t>Solo puede modificar registros propios/asignados y dentro de estados y periodos permitidos.</w:t>
            </w:r>
          </w:p>
        </w:tc>
      </w:tr>
      <w:tr>
        <w:tc>
          <w:tcPr>
            <w:tcW w:type="dxa" w:w="2304"/>
            <w:vAlign w:val="center"/>
          </w:tcPr>
          <w:p>
            <w:pPr>
              <w:spacing w:after="20"/>
            </w:pPr>
            <w:r/>
            <w:r>
              <w:rPr>
                <w:rFonts w:ascii="Aptos" w:hAnsi="Aptos"/>
                <w:b w:val="0"/>
                <w:sz w:val="15"/>
              </w:rPr>
              <w:t>Revisor</w:t>
            </w:r>
          </w:p>
        </w:tc>
        <w:tc>
          <w:tcPr>
            <w:tcW w:type="dxa" w:w="4896"/>
            <w:vAlign w:val="center"/>
          </w:tcPr>
          <w:p>
            <w:pPr>
              <w:spacing w:after="20"/>
            </w:pPr>
            <w:r/>
            <w:r>
              <w:rPr>
                <w:rFonts w:ascii="Aptos" w:hAnsi="Aptos"/>
                <w:b w:val="0"/>
                <w:sz w:val="15"/>
              </w:rPr>
              <w:t>Examinar valores, fórmulas, evidencias y coherencia; emitir observaciones y solicitar correcciones.</w:t>
            </w:r>
          </w:p>
        </w:tc>
        <w:tc>
          <w:tcPr>
            <w:tcW w:type="dxa" w:w="3456"/>
            <w:vAlign w:val="center"/>
          </w:tcPr>
          <w:p>
            <w:pPr>
              <w:spacing w:after="20"/>
            </w:pPr>
            <w:r/>
            <w:r>
              <w:rPr>
                <w:rFonts w:ascii="Aptos" w:hAnsi="Aptos"/>
                <w:b w:val="0"/>
                <w:sz w:val="15"/>
              </w:rPr>
              <w:t>No debe validar su propia captura si la política institucional exige separación de funciones.</w:t>
            </w:r>
          </w:p>
        </w:tc>
      </w:tr>
      <w:tr>
        <w:tc>
          <w:tcPr>
            <w:tcW w:type="dxa" w:w="2304"/>
            <w:vAlign w:val="center"/>
            <w:shd w:fill="F1F5F7"/>
          </w:tcPr>
          <w:p>
            <w:pPr>
              <w:spacing w:after="20"/>
            </w:pPr>
            <w:r/>
            <w:r>
              <w:rPr>
                <w:rFonts w:ascii="Aptos" w:hAnsi="Aptos"/>
                <w:b w:val="0"/>
                <w:sz w:val="15"/>
              </w:rPr>
              <w:t>Validador / Seguimiento</w:t>
            </w:r>
          </w:p>
        </w:tc>
        <w:tc>
          <w:tcPr>
            <w:tcW w:type="dxa" w:w="4896"/>
            <w:vAlign w:val="center"/>
            <w:shd w:fill="F1F5F7"/>
          </w:tcPr>
          <w:p>
            <w:pPr>
              <w:spacing w:after="20"/>
            </w:pPr>
            <w:r/>
            <w:r>
              <w:rPr>
                <w:rFonts w:ascii="Aptos" w:hAnsi="Aptos"/>
                <w:b w:val="0"/>
                <w:sz w:val="15"/>
              </w:rPr>
              <w:t>Validar o rechazar con justificación, cerrar periodos y dar seguimiento a metas e incidencias.</w:t>
            </w:r>
          </w:p>
        </w:tc>
        <w:tc>
          <w:tcPr>
            <w:tcW w:type="dxa" w:w="3456"/>
            <w:vAlign w:val="center"/>
            <w:shd w:fill="F1F5F7"/>
          </w:tcPr>
          <w:p>
            <w:pPr>
              <w:spacing w:after="20"/>
            </w:pPr>
            <w:r/>
            <w:r>
              <w:rPr>
                <w:rFonts w:ascii="Aptos" w:hAnsi="Aptos"/>
                <w:b w:val="0"/>
                <w:sz w:val="15"/>
              </w:rPr>
              <w:t>Acceso según indicadores, dependencias y atribuciones delegadas.</w:t>
            </w:r>
          </w:p>
        </w:tc>
      </w:tr>
      <w:tr>
        <w:tc>
          <w:tcPr>
            <w:tcW w:type="dxa" w:w="2304"/>
            <w:vAlign w:val="center"/>
          </w:tcPr>
          <w:p>
            <w:pPr>
              <w:spacing w:after="20"/>
            </w:pPr>
            <w:r/>
            <w:r>
              <w:rPr>
                <w:rFonts w:ascii="Aptos" w:hAnsi="Aptos"/>
                <w:b w:val="0"/>
                <w:sz w:val="15"/>
              </w:rPr>
              <w:t>Consulta</w:t>
            </w:r>
          </w:p>
        </w:tc>
        <w:tc>
          <w:tcPr>
            <w:tcW w:type="dxa" w:w="4896"/>
            <w:vAlign w:val="center"/>
          </w:tcPr>
          <w:p>
            <w:pPr>
              <w:spacing w:after="20"/>
            </w:pPr>
            <w:r/>
            <w:r>
              <w:rPr>
                <w:rFonts w:ascii="Aptos" w:hAnsi="Aptos"/>
                <w:b w:val="0"/>
                <w:sz w:val="15"/>
              </w:rPr>
              <w:t>Consultar tableros, fichas, tendencias y reportes autorizados.</w:t>
            </w:r>
          </w:p>
        </w:tc>
        <w:tc>
          <w:tcPr>
            <w:tcW w:type="dxa" w:w="3456"/>
            <w:vAlign w:val="center"/>
          </w:tcPr>
          <w:p>
            <w:pPr>
              <w:spacing w:after="20"/>
            </w:pPr>
            <w:r/>
            <w:r>
              <w:rPr>
                <w:rFonts w:ascii="Aptos" w:hAnsi="Aptos"/>
                <w:b w:val="0"/>
                <w:sz w:val="15"/>
              </w:rPr>
              <w:t>Sin modificar datos; exportaciones según permisos.</w:t>
            </w:r>
          </w:p>
        </w:tc>
      </w:tr>
      <w:tr>
        <w:tc>
          <w:tcPr>
            <w:tcW w:type="dxa" w:w="2304"/>
            <w:vAlign w:val="center"/>
            <w:shd w:fill="F1F5F7"/>
          </w:tcPr>
          <w:p>
            <w:pPr>
              <w:spacing w:after="20"/>
            </w:pPr>
            <w:r/>
            <w:r>
              <w:rPr>
                <w:rFonts w:ascii="Aptos" w:hAnsi="Aptos"/>
                <w:b w:val="0"/>
                <w:sz w:val="15"/>
              </w:rPr>
              <w:t>Administrador técnico (opcional)</w:t>
            </w:r>
          </w:p>
        </w:tc>
        <w:tc>
          <w:tcPr>
            <w:tcW w:type="dxa" w:w="4896"/>
            <w:vAlign w:val="center"/>
            <w:shd w:fill="F1F5F7"/>
          </w:tcPr>
          <w:p>
            <w:pPr>
              <w:spacing w:after="20"/>
            </w:pPr>
            <w:r/>
            <w:r>
              <w:rPr>
                <w:rFonts w:ascii="Aptos" w:hAnsi="Aptos"/>
                <w:b w:val="0"/>
                <w:sz w:val="15"/>
              </w:rPr>
              <w:t>Mantenimiento de despliegue, respaldos, configuración técnica y monitoreo.</w:t>
            </w:r>
          </w:p>
        </w:tc>
        <w:tc>
          <w:tcPr>
            <w:tcW w:type="dxa" w:w="3456"/>
            <w:vAlign w:val="center"/>
            <w:shd w:fill="F1F5F7"/>
          </w:tcPr>
          <w:p>
            <w:pPr>
              <w:spacing w:after="20"/>
            </w:pPr>
            <w:r/>
            <w:r>
              <w:rPr>
                <w:rFonts w:ascii="Aptos" w:hAnsi="Aptos"/>
                <w:b w:val="0"/>
                <w:sz w:val="15"/>
              </w:rPr>
              <w:t>Separar, cuando sea posible, administración de infraestructura y decisiones institucionales sobre indicadores.</w:t>
            </w:r>
          </w:p>
        </w:tc>
      </w:tr>
    </w:tbl>
    <w:p>
      <w:pPr>
        <w:spacing w:after="20"/>
      </w:pPr>
    </w:p>
    <w:p>
      <w:pPr>
        <w:pStyle w:val="Heading2"/>
      </w:pPr>
      <w:r>
        <w:t>3.1 Principios de permisos</w:t>
      </w:r>
    </w:p>
    <w:p>
      <w:pPr>
        <w:pStyle w:val="ListBullet"/>
        <w:spacing w:after="40"/>
      </w:pPr>
      <w:r>
        <w:t>Aplicar mínimo privilegio: cada persona obtiene únicamente los permisos necesarios.</w:t>
      </w:r>
    </w:p>
    <w:p>
      <w:pPr>
        <w:pStyle w:val="ListBullet"/>
        <w:spacing w:after="40"/>
      </w:pPr>
      <w:r>
        <w:t>Definir permisos por acción y, cuando corresponda, por dependencia, indicador, periodo y módulo.</w:t>
      </w:r>
    </w:p>
    <w:p>
      <w:pPr>
        <w:pStyle w:val="ListBullet"/>
        <w:spacing w:after="40"/>
      </w:pPr>
      <w:r>
        <w:t>Separar consultar, capturar, editar, revisar, validar, cerrar, exportar y administrar.</w:t>
      </w:r>
    </w:p>
    <w:p>
      <w:pPr>
        <w:pStyle w:val="ListBullet"/>
        <w:spacing w:after="40"/>
      </w:pPr>
      <w:r>
        <w:t>La creación de cuentas debe estar restringida a administradores, salvo que se apruebe otro mecanismo.</w:t>
      </w:r>
    </w:p>
    <w:p>
      <w:pPr>
        <w:pStyle w:val="ListBullet"/>
        <w:spacing w:after="40"/>
      </w:pPr>
      <w:r>
        <w:t>Deshabilitar cuentas sin eliminar el historial de las acciones realizadas por ellas.</w:t>
      </w:r>
    </w:p>
    <w:p>
      <w:pPr>
        <w:pStyle w:val="Heading1"/>
      </w:pPr>
      <w:r>
        <w:t>4. Módulos del sistema</w:t>
      </w:r>
    </w:p>
    <w:p>
      <w:pPr>
        <w:pStyle w:val="Heading2"/>
      </w:pPr>
      <w:r>
        <w:t>4.1 Autenticación y acceso</w:t>
      </w:r>
    </w:p>
    <w:p>
      <w:r>
        <w:t>Inicio y cierre de sesión, recuperación segura de contraseña, alta de cuentas controlada, asignación de roles, bloqueo o desactivación de cuentas y control de intentos.</w:t>
      </w:r>
    </w:p>
    <w:p>
      <w:pPr>
        <w:pStyle w:val="Heading2"/>
      </w:pPr>
      <w:r>
        <w:t>4.2 Dashboard general</w:t>
      </w:r>
    </w:p>
    <w:p>
      <w:r>
        <w:t>Tarjetas de resumen, estado de capturas, indicadores por semáforo, evolución temporal, prioridades, alertas y filtros por periodo y agrupación.</w:t>
      </w:r>
    </w:p>
    <w:p>
      <w:pPr>
        <w:pStyle w:val="Heading2"/>
      </w:pPr>
      <w:r>
        <w:t>4.3 Catálogo de indicadores</w:t>
      </w:r>
    </w:p>
    <w:p>
      <w:r>
        <w:t>Búsqueda y filtros, fichas técnicas, responsables, fuentes, metas, líneas base, fórmula, variables, periodicidad, unidad, sentido y reglas de semaforización.</w:t>
      </w:r>
    </w:p>
    <w:p>
      <w:pPr>
        <w:pStyle w:val="Heading2"/>
      </w:pPr>
      <w:r>
        <w:t>4.4 Captura de información</w:t>
      </w:r>
    </w:p>
    <w:p>
      <w:r>
        <w:t>Captura por indicador y periodo, validación de campos, cálculo preliminar, adjuntos, guardado de borrador y envío a revisión.</w:t>
      </w:r>
    </w:p>
    <w:p>
      <w:pPr>
        <w:pStyle w:val="Heading2"/>
      </w:pPr>
      <w:r>
        <w:t>4.5 Revisión y validación</w:t>
      </w:r>
    </w:p>
    <w:p>
      <w:r>
        <w:t>Cola de pendientes, análisis técnico, comentarios, observaciones, solicitud de corrección, aprobación, rechazo justificado y registro de decisiones.</w:t>
      </w:r>
    </w:p>
    <w:p>
      <w:pPr>
        <w:pStyle w:val="Heading2"/>
      </w:pPr>
      <w:r>
        <w:t>4.6 Evidencias y fuentes</w:t>
      </w:r>
    </w:p>
    <w:p>
      <w:r>
        <w:t>Archivos y enlaces asociados a una captura o variable; metadatos, estado de revisión, responsable y trazabilidad.</w:t>
      </w:r>
    </w:p>
    <w:p>
      <w:pPr>
        <w:pStyle w:val="Heading2"/>
      </w:pPr>
      <w:r>
        <w:t>4.7 Seguimiento de metas y acciones</w:t>
      </w:r>
    </w:p>
    <w:p>
      <w:r>
        <w:t>Comparación con metas, alertas, compromisos correctivos, responsables, fechas límite y evidencia de cumplimiento.</w:t>
      </w:r>
    </w:p>
    <w:p>
      <w:pPr>
        <w:pStyle w:val="Heading2"/>
      </w:pPr>
      <w:r>
        <w:t>4.8 Reportes y exportaciones</w:t>
      </w:r>
    </w:p>
    <w:p>
      <w:r>
        <w:t>PDF, Excel, informes ejecutivos, reportes configurables, historial de generación y exportación según permisos.</w:t>
      </w:r>
    </w:p>
    <w:p>
      <w:pPr>
        <w:pStyle w:val="Heading2"/>
      </w:pPr>
      <w:r>
        <w:t>4.9 Administración</w:t>
      </w:r>
    </w:p>
    <w:p>
      <w:r>
        <w:t>Usuarios, roles, dependencias, agrupaciones, periodos, frecuencias, unidades territoriales, parámetros, catálogos y reglas autorizadas.</w:t>
      </w:r>
    </w:p>
    <w:p>
      <w:pPr>
        <w:pStyle w:val="Heading2"/>
      </w:pPr>
      <w:r>
        <w:t>4.10 Chat y colaboración</w:t>
      </w:r>
    </w:p>
    <w:p>
      <w:r>
        <w:t>Conversaciones internas, hilos por indicador o periodo, menciones, archivos permitidos y notificaciones.</w:t>
      </w:r>
    </w:p>
    <w:p>
      <w:pPr>
        <w:pStyle w:val="Heading2"/>
      </w:pPr>
      <w:r>
        <w:t>4.11 Auditoría y configuración</w:t>
      </w:r>
    </w:p>
    <w:p>
      <w:r>
        <w:t>Historial de cambios, bitácora de accesos y acciones críticas, configuración institucional, respaldo y recuperación.</w:t>
      </w:r>
    </w:p>
    <w:p>
      <w:pPr>
        <w:pStyle w:val="Heading2"/>
      </w:pPr>
      <w:r>
        <w:t>4.12 Ayuda y soporte</w:t>
      </w:r>
    </w:p>
    <w:p>
      <w:r>
        <w:t>Manual de usuario, ayuda contextual, preguntas frecuentes y registro de incidencias técnicas.</w:t>
      </w:r>
    </w:p>
    <w:p>
      <w:pPr>
        <w:pStyle w:val="Heading1"/>
      </w:pPr>
      <w:r>
        <w:t>5. Catálogo de 45 funciones adicionales</w:t>
      </w:r>
    </w:p>
    <w:p>
      <w:r>
        <w:t>La siguiente lista reúne las 45 funciones propuestas para complementar los requisitos iniciales. Su presencia en este documento no implica que todas deban implementarse con el mismo nivel de profundidad dentro del plazo: se priorizarán según valor institucional, dependencias y capacidad del equipo.</w:t>
      </w:r>
    </w:p>
    <w:p>
      <w:pPr>
        <w:pStyle w:val="Heading2"/>
      </w:pPr>
      <w:r>
        <w:t>A. Gestión técnica de indicadores</w:t>
      </w:r>
    </w:p>
    <w:p>
      <w:pPr>
        <w:spacing w:after="60"/>
      </w:pPr>
      <w:r>
        <w:rPr>
          <w:b/>
        </w:rPr>
        <w:t xml:space="preserve">1. Ficha técnica maestra — </w:t>
      </w:r>
      <w:r>
        <w:t>Registrar identificador, nombre, definición, objetivo, fórmula, variables, unidad, frecuencia, línea base, meta, sentido, responsable, fuente y semaforización.</w:t>
      </w:r>
    </w:p>
    <w:p>
      <w:pPr>
        <w:spacing w:after="60"/>
      </w:pPr>
      <w:r>
        <w:rPr>
          <w:b/>
        </w:rPr>
        <w:t xml:space="preserve">2. Motor de fórmulas configurable — </w:t>
      </w:r>
      <w:r>
        <w:t>Calcular razones, porcentajes, tasas, variaciones, promedios, sumas y otras operaciones aprobadas; mostrar las variables y el resultado calculado.</w:t>
      </w:r>
    </w:p>
    <w:p>
      <w:pPr>
        <w:spacing w:after="60"/>
      </w:pPr>
      <w:r>
        <w:rPr>
          <w:b/>
        </w:rPr>
        <w:t xml:space="preserve">3. Semaforización por indicador — </w:t>
      </w:r>
      <w:r>
        <w:t>Definir umbrales y reglas específicas por indicador, incluyendo el sentido ascendente o descendente y los casos no evaluables.</w:t>
      </w:r>
    </w:p>
    <w:p>
      <w:pPr>
        <w:spacing w:after="60"/>
      </w:pPr>
      <w:r>
        <w:rPr>
          <w:b/>
        </w:rPr>
        <w:t xml:space="preserve">4. Comparador de periodos — </w:t>
      </w:r>
      <w:r>
        <w:t>Comparar el valor actual con periodos previos, línea base y meta; mostrar diferencias absolutas y porcentuales cuando sean válidas.</w:t>
      </w:r>
    </w:p>
    <w:p>
      <w:pPr>
        <w:spacing w:after="60"/>
      </w:pPr>
      <w:r>
        <w:rPr>
          <w:b/>
        </w:rPr>
        <w:t xml:space="preserve">5. Versionado de fichas técnicas — </w:t>
      </w:r>
      <w:r>
        <w:t>Conservar cambios de fórmula, meta, fuente, definición y criterios para interpretar correctamente los resultados históricos.</w:t>
      </w:r>
    </w:p>
    <w:p>
      <w:pPr>
        <w:spacing w:after="60"/>
      </w:pPr>
      <w:r>
        <w:rPr>
          <w:b/>
        </w:rPr>
        <w:t xml:space="preserve">6. Relaciones entre indicadores — </w:t>
      </w:r>
      <w:r>
        <w:t>Permitir vincular indicadores para análisis conjunto, sin presentar automáticamente correlación como causalidad.</w:t>
      </w:r>
    </w:p>
    <w:p>
      <w:pPr>
        <w:pStyle w:val="Heading2"/>
      </w:pPr>
      <w:r>
        <w:t>B. Captura, revisión y seguimiento</w:t>
      </w:r>
    </w:p>
    <w:p>
      <w:pPr>
        <w:spacing w:after="60"/>
      </w:pPr>
      <w:r>
        <w:rPr>
          <w:b/>
        </w:rPr>
        <w:t xml:space="preserve">7. Calendario de entregas — </w:t>
      </w:r>
      <w:r>
        <w:t>Definir fechas límite por indicador, dependencia y periodo; señalar pendientes, próximos vencimientos y atrasos.</w:t>
      </w:r>
    </w:p>
    <w:p>
      <w:pPr>
        <w:spacing w:after="60"/>
      </w:pPr>
      <w:r>
        <w:rPr>
          <w:b/>
        </w:rPr>
        <w:t xml:space="preserve">8. Flujo de estados configurable — </w:t>
      </w:r>
      <w:r>
        <w:t>Gestionar borrador, enviado, en revisión, observado, corregido, validado y cerrado, con reglas de transición y permisos.</w:t>
      </w:r>
    </w:p>
    <w:p>
      <w:pPr>
        <w:spacing w:after="60"/>
      </w:pPr>
      <w:r>
        <w:rPr>
          <w:b/>
        </w:rPr>
        <w:t xml:space="preserve">9. Validaciones automáticas de captura — </w:t>
      </w:r>
      <w:r>
        <w:t>Revisar campos obligatorios, denominadores cero, unidades, periodos duplicados y rangos inusuales; generar alertas sin corregir datos silenciosamente.</w:t>
      </w:r>
    </w:p>
    <w:p>
      <w:pPr>
        <w:spacing w:after="60"/>
      </w:pPr>
      <w:r>
        <w:rPr>
          <w:b/>
        </w:rPr>
        <w:t xml:space="preserve">10. Revisión de evidencias — </w:t>
      </w:r>
      <w:r>
        <w:t>Abrir archivos y enlaces, revisar metadatos y asociarlos con variables; marcar evidencia válida, incompleta o no pertinente con justificación.</w:t>
      </w:r>
    </w:p>
    <w:p>
      <w:pPr>
        <w:spacing w:after="60"/>
      </w:pPr>
      <w:r>
        <w:rPr>
          <w:b/>
        </w:rPr>
        <w:t xml:space="preserve">11. Seguimiento de observaciones — </w:t>
      </w:r>
      <w:r>
        <w:t>Asignar responsable y fecha límite a cada observación; registrar respuesta, evidencia correctiva, estado y segunda revisión.</w:t>
      </w:r>
    </w:p>
    <w:p>
      <w:pPr>
        <w:spacing w:after="60"/>
      </w:pPr>
      <w:r>
        <w:rPr>
          <w:b/>
        </w:rPr>
        <w:t xml:space="preserve">12. Cierre de periodos — </w:t>
      </w:r>
      <w:r>
        <w:t>Bloquear modificaciones ordinarias después del cierre; permitir cambios posteriores solo mediante autorización y registro.</w:t>
      </w:r>
    </w:p>
    <w:p>
      <w:pPr>
        <w:spacing w:after="60"/>
      </w:pPr>
      <w:r>
        <w:rPr>
          <w:b/>
        </w:rPr>
        <w:t xml:space="preserve">13. Reutilización controlada de capturas previas — </w:t>
      </w:r>
      <w:r>
        <w:t>Reutilizar metadatos o variables cuando proceda, sin copiar valores anteriores como si fueran datos actuales.</w:t>
      </w:r>
    </w:p>
    <w:p>
      <w:pPr>
        <w:pStyle w:val="Heading2"/>
      </w:pPr>
      <w:r>
        <w:t>C. Analítica y dashboard</w:t>
      </w:r>
    </w:p>
    <w:p>
      <w:pPr>
        <w:spacing w:after="60"/>
      </w:pPr>
      <w:r>
        <w:rPr>
          <w:b/>
        </w:rPr>
        <w:t xml:space="preserve">14. Explorador interactivo — </w:t>
      </w:r>
      <w:r>
        <w:t>Filtrar por agrupación, indicador y periodo para actualizar gráficas y tablas.</w:t>
      </w:r>
    </w:p>
    <w:p>
      <w:pPr>
        <w:spacing w:after="60"/>
      </w:pPr>
      <w:r>
        <w:rPr>
          <w:b/>
        </w:rPr>
        <w:t xml:space="preserve">15. Seguimiento de metas — </w:t>
      </w:r>
      <w:r>
        <w:t>Mostrar distancia a la meta y avance; interpretar correctamente indicadores cuyo sentido deseable sea descendente.</w:t>
      </w:r>
    </w:p>
    <w:p>
      <w:pPr>
        <w:spacing w:after="60"/>
      </w:pPr>
      <w:r>
        <w:rPr>
          <w:b/>
        </w:rPr>
        <w:t xml:space="preserve">16. Detección de tendencias y anomalías — </w:t>
      </w:r>
      <w:r>
        <w:t>Señalar cambios grandes, estancamiento o reversión como alertas para revisión, no como prueba automática de error.</w:t>
      </w:r>
    </w:p>
    <w:p>
      <w:pPr>
        <w:spacing w:after="60"/>
      </w:pPr>
      <w:r>
        <w:rPr>
          <w:b/>
        </w:rPr>
        <w:t xml:space="preserve">17. Comparación territorial — </w:t>
      </w:r>
      <w:r>
        <w:t>Comparar municipio, localidades, colonias/fraccionamientos y UGAT cuando existan datos y metodología compatibles.</w:t>
      </w:r>
    </w:p>
    <w:p>
      <w:pPr>
        <w:spacing w:after="60"/>
      </w:pPr>
      <w:r>
        <w:rPr>
          <w:b/>
        </w:rPr>
        <w:t xml:space="preserve">18. Filtros multidimensionales — </w:t>
      </w:r>
      <w:r>
        <w:t>Filtrar por agrupación, ámbito de desempeño, tipología, dimensión, eje transversal, dependencia y estado de validación.</w:t>
      </w:r>
    </w:p>
    <w:p>
      <w:pPr>
        <w:spacing w:after="60"/>
      </w:pPr>
      <w:r>
        <w:rPr>
          <w:b/>
        </w:rPr>
        <w:t xml:space="preserve">19. Cobertura y calidad de datos — </w:t>
      </w:r>
      <w:r>
        <w:t>Mostrar disponibilidad de datos vigentes, línea base, meta, evidencia completa y validación, separado del desempeño municipal.</w:t>
      </w:r>
    </w:p>
    <w:p>
      <w:pPr>
        <w:spacing w:after="60"/>
      </w:pPr>
      <w:r>
        <w:rPr>
          <w:b/>
        </w:rPr>
        <w:t xml:space="preserve">20. Ficha analítica del indicador — </w:t>
      </w:r>
      <w:r>
        <w:t>Presentar definición, fórmula, resultado, meta, tendencia, histórico, evidencias, observaciones y responsable en una vista.</w:t>
      </w:r>
    </w:p>
    <w:p>
      <w:pPr>
        <w:pStyle w:val="Heading2"/>
      </w:pPr>
      <w:r>
        <w:t>D. Reportes</w:t>
      </w:r>
    </w:p>
    <w:p>
      <w:pPr>
        <w:spacing w:after="60"/>
      </w:pPr>
      <w:r>
        <w:rPr>
          <w:b/>
        </w:rPr>
        <w:t xml:space="preserve">21. Reportes ejecutivos PDF — </w:t>
      </w:r>
      <w:r>
        <w:t>Generar resumen municipal, avances, indicadores críticos, comparaciones, gráficas y conclusiones autorizadas.</w:t>
      </w:r>
    </w:p>
    <w:p>
      <w:pPr>
        <w:spacing w:after="60"/>
      </w:pPr>
      <w:r>
        <w:rPr>
          <w:b/>
        </w:rPr>
        <w:t xml:space="preserve">22. Exportación avanzada a Excel — </w:t>
      </w:r>
      <w:r>
        <w:t>Exportar catálogo, resultados, metas, histórico, registros de evidencias y pendientes de revisión en hojas separadas cuando sea pertinente.</w:t>
      </w:r>
    </w:p>
    <w:p>
      <w:pPr>
        <w:spacing w:after="60"/>
      </w:pPr>
      <w:r>
        <w:rPr>
          <w:b/>
        </w:rPr>
        <w:t xml:space="preserve">23. Constructor de reportes — </w:t>
      </w:r>
      <w:r>
        <w:t>Permitir seleccionar indicadores, agrupaciones, fechas, columnas y gráficas para un informe a medida.</w:t>
      </w:r>
    </w:p>
    <w:p>
      <w:pPr>
        <w:spacing w:after="60"/>
      </w:pPr>
      <w:r>
        <w:rPr>
          <w:b/>
        </w:rPr>
        <w:t xml:space="preserve">24. Reportes programados — </w:t>
      </w:r>
      <w:r>
        <w:t>Preparar reportes según frecuencias aprobadas, respetando estados de validación y cierre.</w:t>
      </w:r>
    </w:p>
    <w:p>
      <w:pPr>
        <w:spacing w:after="60"/>
      </w:pPr>
      <w:r>
        <w:rPr>
          <w:b/>
        </w:rPr>
        <w:t xml:space="preserve">25. Archivo de reportes — </w:t>
      </w:r>
      <w:r>
        <w:t>Guardar fecha de generación, periodo, filtros, autor y versión de los datos usados.</w:t>
      </w:r>
    </w:p>
    <w:p>
      <w:pPr>
        <w:pStyle w:val="Heading2"/>
      </w:pPr>
      <w:r>
        <w:t>E. Administración y seguridad</w:t>
      </w:r>
    </w:p>
    <w:p>
      <w:pPr>
        <w:spacing w:after="60"/>
      </w:pPr>
      <w:r>
        <w:rPr>
          <w:b/>
        </w:rPr>
        <w:t xml:space="preserve">26. Permisos granulares — </w:t>
      </w:r>
      <w:r>
        <w:t>Controlar lectura, captura, edición, validación, cierre, exportación y administración por módulo, dependencia o indicador.</w:t>
      </w:r>
    </w:p>
    <w:p>
      <w:pPr>
        <w:spacing w:after="60"/>
      </w:pPr>
      <w:r>
        <w:rPr>
          <w:b/>
        </w:rPr>
        <w:t xml:space="preserve">27. Directorio de dependencias y responsables — </w:t>
      </w:r>
      <w:r>
        <w:t>Mantener áreas, responsables principales y suplentes e indicadores asignados sin perder historial cuando cambie el personal.</w:t>
      </w:r>
    </w:p>
    <w:p>
      <w:pPr>
        <w:spacing w:after="60"/>
      </w:pPr>
      <w:r>
        <w:rPr>
          <w:b/>
        </w:rPr>
        <w:t xml:space="preserve">28. Bitácora de auditoría — </w:t>
      </w:r>
      <w:r>
        <w:t>Registrar quién hizo qué, cuándo y sobre qué registro; conservar valores anteriores y posteriores en cambios relevantes.</w:t>
      </w:r>
    </w:p>
    <w:p>
      <w:pPr>
        <w:spacing w:after="60"/>
      </w:pPr>
      <w:r>
        <w:rPr>
          <w:b/>
        </w:rPr>
        <w:t xml:space="preserve">29. Respaldo y recuperación — </w:t>
      </w:r>
      <w:r>
        <w:t>Respaldar base de datos y archivos de evidencia, definir responsables y probar restauraciones periódicas.</w:t>
      </w:r>
    </w:p>
    <w:p>
      <w:pPr>
        <w:spacing w:after="60"/>
      </w:pPr>
      <w:r>
        <w:rPr>
          <w:b/>
        </w:rPr>
        <w:t xml:space="preserve">30. Seguridad de sesiones y archivos — </w:t>
      </w:r>
      <w:r>
        <w:t>Controlar sesiones, recuperación de contraseña, intentos de acceso, tipos/tamaños de archivo y descargas no autorizadas.</w:t>
      </w:r>
    </w:p>
    <w:p>
      <w:pPr>
        <w:spacing w:after="60"/>
      </w:pPr>
      <w:r>
        <w:rPr>
          <w:b/>
        </w:rPr>
        <w:t xml:space="preserve">31. Configuración institucional — </w:t>
      </w:r>
      <w:r>
        <w:t>Administrar periodos, frecuencias, catálogos, unidades territoriales, parámetros y reglas autorizadas desde el sistema.</w:t>
      </w:r>
    </w:p>
    <w:p>
      <w:pPr>
        <w:pStyle w:val="Heading2"/>
      </w:pPr>
      <w:r>
        <w:t>F. Chat y colaboración</w:t>
      </w:r>
    </w:p>
    <w:p>
      <w:pPr>
        <w:spacing w:after="60"/>
      </w:pPr>
      <w:r>
        <w:rPr>
          <w:b/>
        </w:rPr>
        <w:t xml:space="preserve">32. Conversaciones por indicador y periodo — </w:t>
      </w:r>
      <w:r>
        <w:t>Mantener contexto de conversaciones y comentarios asociados a un indicador o a una captura concreta.</w:t>
      </w:r>
    </w:p>
    <w:p>
      <w:pPr>
        <w:spacing w:after="60"/>
      </w:pPr>
      <w:r>
        <w:rPr>
          <w:b/>
        </w:rPr>
        <w:t xml:space="preserve">33. Menciones y notificaciones — </w:t>
      </w:r>
      <w:r>
        <w:t>Mencionar responsables y avisarles sobre observaciones, asignaciones, mensajes y validaciones.</w:t>
      </w:r>
    </w:p>
    <w:p>
      <w:pPr>
        <w:spacing w:after="60"/>
      </w:pPr>
      <w:r>
        <w:rPr>
          <w:b/>
        </w:rPr>
        <w:t xml:space="preserve">34. Archivos y enlaces en el chat — </w:t>
      </w:r>
      <w:r>
        <w:t>Compartir archivos y enlaces respetando los mismos permisos, límites y controles de seguridad.</w:t>
      </w:r>
    </w:p>
    <w:p>
      <w:pPr>
        <w:spacing w:after="60"/>
      </w:pPr>
      <w:r>
        <w:rPr>
          <w:b/>
        </w:rPr>
        <w:t xml:space="preserve">35. Centro de notificaciones — </w:t>
      </w:r>
      <w:r>
        <w:t>Reunir vencimientos, observaciones, validaciones, mensajes y asignaciones con filtros y estado de lectura.</w:t>
      </w:r>
    </w:p>
    <w:p>
      <w:pPr>
        <w:pStyle w:val="Heading2"/>
      </w:pPr>
      <w:r>
        <w:t>G. Funciones diferenciadoras y ampliaciones</w:t>
      </w:r>
    </w:p>
    <w:p>
      <w:pPr>
        <w:spacing w:after="60"/>
      </w:pPr>
      <w:r>
        <w:rPr>
          <w:b/>
        </w:rPr>
        <w:t xml:space="preserve">36. Asistente de análisis con IA (opcional) — </w:t>
      </w:r>
      <w:r>
        <w:t>Ayudar a redactar interpretaciones basadas exclusivamente en datos validados y fuentes disponibles; no inventar cifras ni tomar decisiones oficiales.</w:t>
      </w:r>
    </w:p>
    <w:p>
      <w:pPr>
        <w:spacing w:after="60"/>
      </w:pPr>
      <w:r>
        <w:rPr>
          <w:b/>
        </w:rPr>
        <w:t xml:space="preserve">37. Búsqueda global — </w:t>
      </w:r>
      <w:r>
        <w:t>Buscar por nombre, clave, tema, dependencia y palabras clave en los recursos autorizados.</w:t>
      </w:r>
    </w:p>
    <w:p>
      <w:pPr>
        <w:spacing w:after="60"/>
      </w:pPr>
      <w:r>
        <w:rPr>
          <w:b/>
        </w:rPr>
        <w:t xml:space="preserve">38. Comparación de escenarios — </w:t>
      </w:r>
      <w:r>
        <w:t>Explorar escenarios de metas si existen datos, supuestos y metodología documentados; distinguir proyecciones de resultados observados.</w:t>
      </w:r>
    </w:p>
    <w:p>
      <w:pPr>
        <w:spacing w:after="60"/>
      </w:pPr>
      <w:r>
        <w:rPr>
          <w:b/>
        </w:rPr>
        <w:t xml:space="preserve">39. Reporte de incidencias técnicas — </w:t>
      </w:r>
      <w:r>
        <w:t>Registrar problemas de acceso, cálculo, carga de archivos o funcionamiento del sistema y seguir su resolución.</w:t>
      </w:r>
    </w:p>
    <w:p>
      <w:pPr>
        <w:spacing w:after="60"/>
      </w:pPr>
      <w:r>
        <w:rPr>
          <w:b/>
        </w:rPr>
        <w:t xml:space="preserve">40. Importación masiva desde Excel — </w:t>
      </w:r>
      <w:r>
        <w:t>Cargar datos mediante plantillas controladas, validar errores y mostrar una vista previa antes de confirmar la importación.</w:t>
      </w:r>
    </w:p>
    <w:p>
      <w:pPr>
        <w:spacing w:after="60"/>
      </w:pPr>
      <w:r>
        <w:rPr>
          <w:b/>
        </w:rPr>
        <w:t xml:space="preserve">41. Plantillas de captura por tipo de indicador — </w:t>
      </w:r>
      <w:r>
        <w:t>Ofrecer formularios adecuados a la fórmula, variables, unidad y periodicidad del indicador.</w:t>
      </w:r>
    </w:p>
    <w:p>
      <w:pPr>
        <w:spacing w:after="60"/>
      </w:pPr>
      <w:r>
        <w:rPr>
          <w:b/>
        </w:rPr>
        <w:t xml:space="preserve">42. Vinculación con información presupuestaria (opcional) — </w:t>
      </w:r>
      <w:r>
        <w:t>Relacionar indicadores con datos presupuestarios solo si hay fuentes, permisos y metodología aprobados.</w:t>
      </w:r>
    </w:p>
    <w:p>
      <w:pPr>
        <w:spacing w:after="60"/>
      </w:pPr>
      <w:r>
        <w:rPr>
          <w:b/>
        </w:rPr>
        <w:t xml:space="preserve">43. Registro de calidad y procedencia de fuentes — </w:t>
      </w:r>
      <w:r>
        <w:t>Documentar origen, fecha de actualización, responsable y limitaciones de cada fuente.</w:t>
      </w:r>
    </w:p>
    <w:p>
      <w:pPr>
        <w:spacing w:after="60"/>
      </w:pPr>
      <w:r>
        <w:rPr>
          <w:b/>
        </w:rPr>
        <w:t xml:space="preserve">44. Gestión de acciones correctivas — </w:t>
      </w:r>
      <w:r>
        <w:t>Crear tareas derivadas de resultados críticos u observaciones, con responsables, fechas y evidencia de cumplimiento.</w:t>
      </w:r>
    </w:p>
    <w:p>
      <w:pPr>
        <w:spacing w:after="60"/>
      </w:pPr>
      <w:r>
        <w:rPr>
          <w:b/>
        </w:rPr>
        <w:t xml:space="preserve">45. Manual y ayuda contextual — </w:t>
      </w:r>
      <w:r>
        <w:t>Incluir instrucciones dentro de los módulos, guía de procesos y preguntas frecuentes.</w:t>
      </w:r>
    </w:p>
    <w:p>
      <w:pPr>
        <w:pStyle w:val="Heading1"/>
      </w:pPr>
      <w:r>
        <w:t>6. Reglas de negocio y criterios de integridad</w:t>
      </w:r>
    </w:p>
    <w:p>
      <w:pPr>
        <w:pStyle w:val="Heading2"/>
      </w:pPr>
      <w:r>
        <w:t>6.1 Separar tres conceptos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43A52"/>
          </w:tcPr>
          <w:p>
            <w:pPr>
              <w:spacing w:after="20"/>
            </w:pPr>
            <w:r/>
            <w:r>
              <w:rPr>
                <w:rFonts w:ascii="Aptos" w:hAnsi="Aptos"/>
                <w:b/>
                <w:color w:val="FFFFFF"/>
                <w:sz w:val="16"/>
              </w:rPr>
              <w:t>Concepto</w:t>
            </w:r>
          </w:p>
        </w:tc>
        <w:tc>
          <w:tcPr>
            <w:tcW w:type="dxa" w:w="3888"/>
            <w:vAlign w:val="center"/>
            <w:shd w:fill="143A52"/>
          </w:tcPr>
          <w:p>
            <w:pPr>
              <w:spacing w:after="20"/>
            </w:pPr>
            <w:r/>
            <w:r>
              <w:rPr>
                <w:rFonts w:ascii="Aptos" w:hAnsi="Aptos"/>
                <w:b/>
                <w:color w:val="FFFFFF"/>
                <w:sz w:val="16"/>
              </w:rPr>
              <w:t>Qué responde</w:t>
            </w:r>
          </w:p>
        </w:tc>
        <w:tc>
          <w:tcPr>
            <w:tcW w:type="dxa" w:w="4464"/>
            <w:vAlign w:val="center"/>
            <w:shd w:fill="143A52"/>
          </w:tcPr>
          <w:p>
            <w:pPr>
              <w:spacing w:after="20"/>
            </w:pPr>
            <w:r/>
            <w:r>
              <w:rPr>
                <w:rFonts w:ascii="Aptos" w:hAnsi="Aptos"/>
                <w:b/>
                <w:color w:val="FFFFFF"/>
                <w:sz w:val="16"/>
              </w:rPr>
              <w:t>Ejemplo de presentación</w:t>
            </w:r>
          </w:p>
        </w:tc>
      </w:tr>
      <w:tr>
        <w:tc>
          <w:tcPr>
            <w:tcW w:type="dxa" w:w="2160"/>
            <w:vAlign w:val="center"/>
          </w:tcPr>
          <w:p>
            <w:pPr>
              <w:spacing w:after="20"/>
            </w:pPr>
            <w:r/>
            <w:r>
              <w:rPr>
                <w:rFonts w:ascii="Aptos" w:hAnsi="Aptos"/>
                <w:b w:val="0"/>
                <w:sz w:val="16"/>
              </w:rPr>
              <w:t>Desempeño</w:t>
            </w:r>
          </w:p>
        </w:tc>
        <w:tc>
          <w:tcPr>
            <w:tcW w:type="dxa" w:w="3888"/>
            <w:vAlign w:val="center"/>
          </w:tcPr>
          <w:p>
            <w:pPr>
              <w:spacing w:after="20"/>
            </w:pPr>
            <w:r/>
            <w:r>
              <w:rPr>
                <w:rFonts w:ascii="Aptos" w:hAnsi="Aptos"/>
                <w:b w:val="0"/>
                <w:sz w:val="16"/>
              </w:rPr>
              <w:t>¿El indicador avanza hacia el objetivo o la meta?</w:t>
            </w:r>
          </w:p>
        </w:tc>
        <w:tc>
          <w:tcPr>
            <w:tcW w:type="dxa" w:w="4464"/>
            <w:vAlign w:val="center"/>
          </w:tcPr>
          <w:p>
            <w:pPr>
              <w:spacing w:after="20"/>
            </w:pPr>
            <w:r/>
            <w:r>
              <w:rPr>
                <w:rFonts w:ascii="Aptos" w:hAnsi="Aptos"/>
                <w:b w:val="0"/>
                <w:sz w:val="16"/>
              </w:rPr>
              <w:t>Valor, meta, tendencia y semáforo calculado con la regla aprobada.</w:t>
            </w:r>
          </w:p>
        </w:tc>
      </w:tr>
      <w:tr>
        <w:tc>
          <w:tcPr>
            <w:tcW w:type="dxa" w:w="2160"/>
            <w:vAlign w:val="center"/>
            <w:shd w:fill="F1F5F7"/>
          </w:tcPr>
          <w:p>
            <w:pPr>
              <w:spacing w:after="20"/>
            </w:pPr>
            <w:r/>
            <w:r>
              <w:rPr>
                <w:rFonts w:ascii="Aptos" w:hAnsi="Aptos"/>
                <w:b w:val="0"/>
                <w:sz w:val="16"/>
              </w:rPr>
              <w:t>Cumplimiento de captura</w:t>
            </w:r>
          </w:p>
        </w:tc>
        <w:tc>
          <w:tcPr>
            <w:tcW w:type="dxa" w:w="3888"/>
            <w:vAlign w:val="center"/>
            <w:shd w:fill="F1F5F7"/>
          </w:tcPr>
          <w:p>
            <w:pPr>
              <w:spacing w:after="20"/>
            </w:pPr>
            <w:r/>
            <w:r>
              <w:rPr>
                <w:rFonts w:ascii="Aptos" w:hAnsi="Aptos"/>
                <w:b w:val="0"/>
                <w:sz w:val="16"/>
              </w:rPr>
              <w:t>¿La dependencia entregó la información correspondiente al periodo?</w:t>
            </w:r>
          </w:p>
        </w:tc>
        <w:tc>
          <w:tcPr>
            <w:tcW w:type="dxa" w:w="4464"/>
            <w:vAlign w:val="center"/>
            <w:shd w:fill="F1F5F7"/>
          </w:tcPr>
          <w:p>
            <w:pPr>
              <w:spacing w:after="20"/>
            </w:pPr>
            <w:r/>
            <w:r>
              <w:rPr>
                <w:rFonts w:ascii="Aptos" w:hAnsi="Aptos"/>
                <w:b w:val="0"/>
                <w:sz w:val="16"/>
              </w:rPr>
              <w:t>Pendiente, entregado, atrasado o cerrado.</w:t>
            </w:r>
          </w:p>
        </w:tc>
      </w:tr>
      <w:tr>
        <w:tc>
          <w:tcPr>
            <w:tcW w:type="dxa" w:w="2160"/>
            <w:vAlign w:val="center"/>
          </w:tcPr>
          <w:p>
            <w:pPr>
              <w:spacing w:after="20"/>
            </w:pPr>
            <w:r/>
            <w:r>
              <w:rPr>
                <w:rFonts w:ascii="Aptos" w:hAnsi="Aptos"/>
                <w:b w:val="0"/>
                <w:sz w:val="16"/>
              </w:rPr>
              <w:t>Calidad/validación</w:t>
            </w:r>
          </w:p>
        </w:tc>
        <w:tc>
          <w:tcPr>
            <w:tcW w:type="dxa" w:w="3888"/>
            <w:vAlign w:val="center"/>
          </w:tcPr>
          <w:p>
            <w:pPr>
              <w:spacing w:after="20"/>
            </w:pPr>
            <w:r/>
            <w:r>
              <w:rPr>
                <w:rFonts w:ascii="Aptos" w:hAnsi="Aptos"/>
                <w:b w:val="0"/>
                <w:sz w:val="16"/>
              </w:rPr>
              <w:t>¿Los datos y evidencias son completos y han sido revisados?</w:t>
            </w:r>
          </w:p>
        </w:tc>
        <w:tc>
          <w:tcPr>
            <w:tcW w:type="dxa" w:w="4464"/>
            <w:vAlign w:val="center"/>
          </w:tcPr>
          <w:p>
            <w:pPr>
              <w:spacing w:after="20"/>
            </w:pPr>
            <w:r/>
            <w:r>
              <w:rPr>
                <w:rFonts w:ascii="Aptos" w:hAnsi="Aptos"/>
                <w:b w:val="0"/>
                <w:sz w:val="16"/>
              </w:rPr>
              <w:t>Sin revisar, observado, evidencia incompleta, validado.</w:t>
            </w:r>
          </w:p>
        </w:tc>
      </w:tr>
    </w:tbl>
    <w:p>
      <w:pPr>
        <w:spacing w:after="20"/>
      </w:pPr>
    </w:p>
    <w:p>
      <w:r>
        <w:t>No debe suponerse que un indicador sin datos tiene mal desempeño ni que un valor capturado es oficial antes de completar el flujo de validación.</w:t>
      </w:r>
    </w:p>
    <w:p>
      <w:pPr>
        <w:pStyle w:val="Heading2"/>
      </w:pPr>
      <w:r>
        <w:t>6.2 Fórmulas y semáforos</w:t>
      </w:r>
    </w:p>
    <w:p>
      <w:pPr>
        <w:pStyle w:val="ListBullet"/>
        <w:spacing w:after="40"/>
      </w:pPr>
      <w:r>
        <w:t>Cada fórmula debe documentar variables, unidades, operaciones, reglas de redondeo, manejo de datos faltantes y ejemplos de cálculo.</w:t>
      </w:r>
    </w:p>
    <w:p>
      <w:pPr>
        <w:pStyle w:val="ListBullet"/>
        <w:spacing w:after="40"/>
      </w:pPr>
      <w:r>
        <w:t>Validar divisiones por cero, valores negativos no permitidos, periodos incompatibles y unidades inconsistentes.</w:t>
      </w:r>
    </w:p>
    <w:p>
      <w:pPr>
        <w:pStyle w:val="ListBullet"/>
        <w:spacing w:after="40"/>
      </w:pPr>
      <w:r>
        <w:t>El sentido ascendente o descendente debe formar parte de la configuración de cada indicador.</w:t>
      </w:r>
    </w:p>
    <w:p>
      <w:pPr>
        <w:pStyle w:val="ListBullet"/>
        <w:spacing w:after="40"/>
      </w:pPr>
      <w:r>
        <w:t>Los umbrales de semaforización y la forma de calcular índices agregados deben ser aprobados por la institución.</w:t>
      </w:r>
    </w:p>
    <w:p>
      <w:pPr>
        <w:pStyle w:val="ListBullet"/>
        <w:spacing w:after="40"/>
      </w:pPr>
      <w:r>
        <w:t>Los cambios en una fórmula o regla deben quedar versionados; no se deben recalcular silenciosamente resultados históricos sin una política aprobada.</w:t>
      </w:r>
    </w:p>
    <w:p>
      <w:pPr>
        <w:pStyle w:val="Heading2"/>
      </w:pPr>
      <w:r>
        <w:t>6.3 Referencia numérica de la demostración de dashboard</w:t>
      </w:r>
    </w:p>
    <w:p>
      <w:r>
        <w:t>La demostración del dashboard presenta una fórmula ilustrativa para un índice agregado: (100 × cantidad de indicadores verdes + 50 × cantidad de indicadores amarillos) / cantidad de indicadores evaluados. También muestra umbrales de ejemplo: verde desde 75, amarillo desde 35 y rojo por debajo de 35. Estos valores son demostrativos y NO se consideran reglas oficiales hasta que sean confirmados.</w:t>
      </w:r>
    </w:p>
    <w:p>
      <w:r>
        <w:t>La demostración operativa también incluye reglas de semaforización por indicador. Debe definirse cómo se relacionan las reglas individuales con los índices agregados por agrupación y cómo se tratan los indicadores no evaluables.</w:t>
      </w:r>
    </w:p>
    <w:p>
      <w:pPr>
        <w:pStyle w:val="Heading2"/>
      </w:pPr>
      <w:r>
        <w:t>6.4 Estados sugeridos de una captura</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143A52"/>
          </w:tcPr>
          <w:p>
            <w:pPr>
              <w:spacing w:after="20"/>
            </w:pPr>
            <w:r/>
            <w:r>
              <w:rPr>
                <w:rFonts w:ascii="Aptos" w:hAnsi="Aptos"/>
                <w:b/>
                <w:color w:val="FFFFFF"/>
                <w:sz w:val="16"/>
              </w:rPr>
              <w:t>Estado</w:t>
            </w:r>
          </w:p>
        </w:tc>
        <w:tc>
          <w:tcPr>
            <w:tcW w:type="dxa" w:w="4608"/>
            <w:vAlign w:val="center"/>
            <w:shd w:fill="143A52"/>
          </w:tcPr>
          <w:p>
            <w:pPr>
              <w:spacing w:after="20"/>
            </w:pPr>
            <w:r/>
            <w:r>
              <w:rPr>
                <w:rFonts w:ascii="Aptos" w:hAnsi="Aptos"/>
                <w:b/>
                <w:color w:val="FFFFFF"/>
                <w:sz w:val="16"/>
              </w:rPr>
              <w:t>Significado propuesto</w:t>
            </w:r>
          </w:p>
        </w:tc>
        <w:tc>
          <w:tcPr>
            <w:tcW w:type="dxa" w:w="4032"/>
            <w:vAlign w:val="center"/>
            <w:shd w:fill="143A52"/>
          </w:tcPr>
          <w:p>
            <w:pPr>
              <w:spacing w:after="20"/>
            </w:pPr>
            <w:r/>
            <w:r>
              <w:rPr>
                <w:rFonts w:ascii="Aptos" w:hAnsi="Aptos"/>
                <w:b/>
                <w:color w:val="FFFFFF"/>
                <w:sz w:val="16"/>
              </w:rPr>
              <w:t>Transición típica</w:t>
            </w:r>
          </w:p>
        </w:tc>
      </w:tr>
      <w:tr>
        <w:tc>
          <w:tcPr>
            <w:tcW w:type="dxa" w:w="1872"/>
            <w:vAlign w:val="center"/>
          </w:tcPr>
          <w:p>
            <w:pPr>
              <w:spacing w:after="20"/>
            </w:pPr>
            <w:r/>
            <w:r>
              <w:rPr>
                <w:rFonts w:ascii="Aptos" w:hAnsi="Aptos"/>
                <w:b w:val="0"/>
                <w:sz w:val="16"/>
              </w:rPr>
              <w:t>Borrador</w:t>
            </w:r>
          </w:p>
        </w:tc>
        <w:tc>
          <w:tcPr>
            <w:tcW w:type="dxa" w:w="4608"/>
            <w:vAlign w:val="center"/>
          </w:tcPr>
          <w:p>
            <w:pPr>
              <w:spacing w:after="20"/>
            </w:pPr>
            <w:r/>
            <w:r>
              <w:rPr>
                <w:rFonts w:ascii="Aptos" w:hAnsi="Aptos"/>
                <w:b w:val="0"/>
                <w:sz w:val="16"/>
              </w:rPr>
              <w:t>La persona responsable aún prepara los datos.</w:t>
            </w:r>
          </w:p>
        </w:tc>
        <w:tc>
          <w:tcPr>
            <w:tcW w:type="dxa" w:w="4032"/>
            <w:vAlign w:val="center"/>
          </w:tcPr>
          <w:p>
            <w:pPr>
              <w:spacing w:after="20"/>
            </w:pPr>
            <w:r/>
            <w:r>
              <w:rPr>
                <w:rFonts w:ascii="Aptos" w:hAnsi="Aptos"/>
                <w:b w:val="0"/>
                <w:sz w:val="16"/>
              </w:rPr>
              <w:t>Enviar a revisión.</w:t>
            </w:r>
          </w:p>
        </w:tc>
      </w:tr>
      <w:tr>
        <w:tc>
          <w:tcPr>
            <w:tcW w:type="dxa" w:w="1872"/>
            <w:vAlign w:val="center"/>
            <w:shd w:fill="F1F5F7"/>
          </w:tcPr>
          <w:p>
            <w:pPr>
              <w:spacing w:after="20"/>
            </w:pPr>
            <w:r/>
            <w:r>
              <w:rPr>
                <w:rFonts w:ascii="Aptos" w:hAnsi="Aptos"/>
                <w:b w:val="0"/>
                <w:sz w:val="16"/>
              </w:rPr>
              <w:t>En revisión</w:t>
            </w:r>
          </w:p>
        </w:tc>
        <w:tc>
          <w:tcPr>
            <w:tcW w:type="dxa" w:w="4608"/>
            <w:vAlign w:val="center"/>
            <w:shd w:fill="F1F5F7"/>
          </w:tcPr>
          <w:p>
            <w:pPr>
              <w:spacing w:after="20"/>
            </w:pPr>
            <w:r/>
            <w:r>
              <w:rPr>
                <w:rFonts w:ascii="Aptos" w:hAnsi="Aptos"/>
                <w:b w:val="0"/>
                <w:sz w:val="16"/>
              </w:rPr>
              <w:t>La captura fue enviada y está pendiente de análisis.</w:t>
            </w:r>
          </w:p>
        </w:tc>
        <w:tc>
          <w:tcPr>
            <w:tcW w:type="dxa" w:w="4032"/>
            <w:vAlign w:val="center"/>
            <w:shd w:fill="F1F5F7"/>
          </w:tcPr>
          <w:p>
            <w:pPr>
              <w:spacing w:after="20"/>
            </w:pPr>
            <w:r/>
            <w:r>
              <w:rPr>
                <w:rFonts w:ascii="Aptos" w:hAnsi="Aptos"/>
                <w:b w:val="0"/>
                <w:sz w:val="16"/>
              </w:rPr>
              <w:t>Validar o emitir observaciones.</w:t>
            </w:r>
          </w:p>
        </w:tc>
      </w:tr>
      <w:tr>
        <w:tc>
          <w:tcPr>
            <w:tcW w:type="dxa" w:w="1872"/>
            <w:vAlign w:val="center"/>
          </w:tcPr>
          <w:p>
            <w:pPr>
              <w:spacing w:after="20"/>
            </w:pPr>
            <w:r/>
            <w:r>
              <w:rPr>
                <w:rFonts w:ascii="Aptos" w:hAnsi="Aptos"/>
                <w:b w:val="0"/>
                <w:sz w:val="16"/>
              </w:rPr>
              <w:t>Observado</w:t>
            </w:r>
          </w:p>
        </w:tc>
        <w:tc>
          <w:tcPr>
            <w:tcW w:type="dxa" w:w="4608"/>
            <w:vAlign w:val="center"/>
          </w:tcPr>
          <w:p>
            <w:pPr>
              <w:spacing w:after="20"/>
            </w:pPr>
            <w:r/>
            <w:r>
              <w:rPr>
                <w:rFonts w:ascii="Aptos" w:hAnsi="Aptos"/>
                <w:b w:val="0"/>
                <w:sz w:val="16"/>
              </w:rPr>
              <w:t>Se requiere aclaración, corrección o evidencia adicional.</w:t>
            </w:r>
          </w:p>
        </w:tc>
        <w:tc>
          <w:tcPr>
            <w:tcW w:type="dxa" w:w="4032"/>
            <w:vAlign w:val="center"/>
          </w:tcPr>
          <w:p>
            <w:pPr>
              <w:spacing w:after="20"/>
            </w:pPr>
            <w:r/>
            <w:r>
              <w:rPr>
                <w:rFonts w:ascii="Aptos" w:hAnsi="Aptos"/>
                <w:b w:val="0"/>
                <w:sz w:val="16"/>
              </w:rPr>
              <w:t>Corregir y reenviar.</w:t>
            </w:r>
          </w:p>
        </w:tc>
      </w:tr>
      <w:tr>
        <w:tc>
          <w:tcPr>
            <w:tcW w:type="dxa" w:w="1872"/>
            <w:vAlign w:val="center"/>
            <w:shd w:fill="F1F5F7"/>
          </w:tcPr>
          <w:p>
            <w:pPr>
              <w:spacing w:after="20"/>
            </w:pPr>
            <w:r/>
            <w:r>
              <w:rPr>
                <w:rFonts w:ascii="Aptos" w:hAnsi="Aptos"/>
                <w:b w:val="0"/>
                <w:sz w:val="16"/>
              </w:rPr>
              <w:t>Corregido</w:t>
            </w:r>
          </w:p>
        </w:tc>
        <w:tc>
          <w:tcPr>
            <w:tcW w:type="dxa" w:w="4608"/>
            <w:vAlign w:val="center"/>
            <w:shd w:fill="F1F5F7"/>
          </w:tcPr>
          <w:p>
            <w:pPr>
              <w:spacing w:after="20"/>
            </w:pPr>
            <w:r/>
            <w:r>
              <w:rPr>
                <w:rFonts w:ascii="Aptos" w:hAnsi="Aptos"/>
                <w:b w:val="0"/>
                <w:sz w:val="16"/>
              </w:rPr>
              <w:t>La persona responsable atendió las observaciones.</w:t>
            </w:r>
          </w:p>
        </w:tc>
        <w:tc>
          <w:tcPr>
            <w:tcW w:type="dxa" w:w="4032"/>
            <w:vAlign w:val="center"/>
            <w:shd w:fill="F1F5F7"/>
          </w:tcPr>
          <w:p>
            <w:pPr>
              <w:spacing w:after="20"/>
            </w:pPr>
            <w:r/>
            <w:r>
              <w:rPr>
                <w:rFonts w:ascii="Aptos" w:hAnsi="Aptos"/>
                <w:b w:val="0"/>
                <w:sz w:val="16"/>
              </w:rPr>
              <w:t>Revisar de nuevo.</w:t>
            </w:r>
          </w:p>
        </w:tc>
      </w:tr>
      <w:tr>
        <w:tc>
          <w:tcPr>
            <w:tcW w:type="dxa" w:w="1872"/>
            <w:vAlign w:val="center"/>
          </w:tcPr>
          <w:p>
            <w:pPr>
              <w:spacing w:after="20"/>
            </w:pPr>
            <w:r/>
            <w:r>
              <w:rPr>
                <w:rFonts w:ascii="Aptos" w:hAnsi="Aptos"/>
                <w:b w:val="0"/>
                <w:sz w:val="16"/>
              </w:rPr>
              <w:t>Validado</w:t>
            </w:r>
          </w:p>
        </w:tc>
        <w:tc>
          <w:tcPr>
            <w:tcW w:type="dxa" w:w="4608"/>
            <w:vAlign w:val="center"/>
          </w:tcPr>
          <w:p>
            <w:pPr>
              <w:spacing w:after="20"/>
            </w:pPr>
            <w:r/>
            <w:r>
              <w:rPr>
                <w:rFonts w:ascii="Aptos" w:hAnsi="Aptos"/>
                <w:b w:val="0"/>
                <w:sz w:val="16"/>
              </w:rPr>
              <w:t>La persona con atribuciones aprobó el registro.</w:t>
            </w:r>
          </w:p>
        </w:tc>
        <w:tc>
          <w:tcPr>
            <w:tcW w:type="dxa" w:w="4032"/>
            <w:vAlign w:val="center"/>
          </w:tcPr>
          <w:p>
            <w:pPr>
              <w:spacing w:after="20"/>
            </w:pPr>
            <w:r/>
            <w:r>
              <w:rPr>
                <w:rFonts w:ascii="Aptos" w:hAnsi="Aptos"/>
                <w:b w:val="0"/>
                <w:sz w:val="16"/>
              </w:rPr>
              <w:t>Cerrar periodo o reabrir mediante autorización.</w:t>
            </w:r>
          </w:p>
        </w:tc>
      </w:tr>
      <w:tr>
        <w:tc>
          <w:tcPr>
            <w:tcW w:type="dxa" w:w="1872"/>
            <w:vAlign w:val="center"/>
            <w:shd w:fill="F1F5F7"/>
          </w:tcPr>
          <w:p>
            <w:pPr>
              <w:spacing w:after="20"/>
            </w:pPr>
            <w:r/>
            <w:r>
              <w:rPr>
                <w:rFonts w:ascii="Aptos" w:hAnsi="Aptos"/>
                <w:b w:val="0"/>
                <w:sz w:val="16"/>
              </w:rPr>
              <w:t>Cerrado</w:t>
            </w:r>
          </w:p>
        </w:tc>
        <w:tc>
          <w:tcPr>
            <w:tcW w:type="dxa" w:w="4608"/>
            <w:vAlign w:val="center"/>
            <w:shd w:fill="F1F5F7"/>
          </w:tcPr>
          <w:p>
            <w:pPr>
              <w:spacing w:after="20"/>
            </w:pPr>
            <w:r/>
            <w:r>
              <w:rPr>
                <w:rFonts w:ascii="Aptos" w:hAnsi="Aptos"/>
                <w:b w:val="0"/>
                <w:sz w:val="16"/>
              </w:rPr>
              <w:t>El periodo o registro está bloqueado para edición ordinaria.</w:t>
            </w:r>
          </w:p>
        </w:tc>
        <w:tc>
          <w:tcPr>
            <w:tcW w:type="dxa" w:w="4032"/>
            <w:vAlign w:val="center"/>
            <w:shd w:fill="F1F5F7"/>
          </w:tcPr>
          <w:p>
            <w:pPr>
              <w:spacing w:after="20"/>
            </w:pPr>
            <w:r/>
            <w:r>
              <w:rPr>
                <w:rFonts w:ascii="Aptos" w:hAnsi="Aptos"/>
                <w:b w:val="0"/>
                <w:sz w:val="16"/>
              </w:rPr>
              <w:t>Reapertura excepcional auditada.</w:t>
            </w:r>
          </w:p>
        </w:tc>
      </w:tr>
    </w:tbl>
    <w:p>
      <w:pPr>
        <w:spacing w:after="20"/>
      </w:pPr>
    </w:p>
    <w:p>
      <w:pPr>
        <w:pStyle w:val="Heading2"/>
      </w:pPr>
      <w:r>
        <w:t>6.5 Periodos y datos históricos</w:t>
      </w:r>
    </w:p>
    <w:p>
      <w:pPr>
        <w:pStyle w:val="ListBullet"/>
        <w:spacing w:after="40"/>
      </w:pPr>
      <w:r>
        <w:t>Cada valor debe estar asociado a un indicador, periodo, ámbito territorial, fuente y estado de validación.</w:t>
      </w:r>
    </w:p>
    <w:p>
      <w:pPr>
        <w:pStyle w:val="ListBullet"/>
        <w:spacing w:after="40"/>
      </w:pPr>
      <w:r>
        <w:t>Evitar duplicados para la misma combinación de indicador, periodo y unidad territorial, salvo que la metodología permita desgloses adicionales.</w:t>
      </w:r>
    </w:p>
    <w:p>
      <w:pPr>
        <w:pStyle w:val="ListBullet"/>
        <w:spacing w:after="40"/>
      </w:pPr>
      <w:r>
        <w:t>La captura anterior puede servir de referencia, pero nunca debe confundirse con el dato vigente.</w:t>
      </w:r>
    </w:p>
    <w:p>
      <w:pPr>
        <w:pStyle w:val="ListBullet"/>
        <w:spacing w:after="40"/>
      </w:pPr>
      <w:r>
        <w:t>Las comparaciones deben advertir cuando existan cambios metodológicos, unidades distintas o cobertura territorial incompatible.</w:t>
      </w:r>
    </w:p>
    <w:p>
      <w:pPr>
        <w:pStyle w:val="Heading1"/>
      </w:pPr>
      <w:r>
        <w:t>7. Datos e indicadores</w:t>
      </w:r>
    </w:p>
    <w:p>
      <w:pPr>
        <w:pStyle w:val="Heading2"/>
      </w:pPr>
      <w:r>
        <w:t>7.1 Universo inicial</w:t>
      </w:r>
    </w:p>
    <w:p>
      <w:r>
        <w:t>Se ha indicado que el catálogo inicial estará compuesto por 129 indicadores municipales. La cantidad y la lista definitiva deberán cotejarse con el catálogo oficial entregado por la institución.</w:t>
      </w:r>
    </w:p>
    <w:p>
      <w:pPr>
        <w:pStyle w:val="Heading2"/>
      </w:pPr>
      <w:r>
        <w:t>7.2 Campos de ficha técnica presentes en la demostración operativa</w:t>
      </w:r>
    </w:p>
    <w:p>
      <w:pPr>
        <w:pStyle w:val="ListBullet"/>
        <w:spacing w:after="40"/>
      </w:pPr>
      <w:r>
        <w:t>ID o clave y nombre del indicador.</w:t>
      </w:r>
    </w:p>
    <w:p>
      <w:pPr>
        <w:pStyle w:val="ListBullet"/>
        <w:spacing w:after="40"/>
      </w:pPr>
      <w:r>
        <w:t>Definición, objetivo, nivel, tipología, ámbito, dimensión, eje transversal, agrupación y familia.</w:t>
      </w:r>
    </w:p>
    <w:p>
      <w:pPr>
        <w:pStyle w:val="ListBullet"/>
        <w:spacing w:after="40"/>
      </w:pPr>
      <w:r>
        <w:t>Fórmula y variables.</w:t>
      </w:r>
    </w:p>
    <w:p>
      <w:pPr>
        <w:pStyle w:val="ListBullet"/>
        <w:spacing w:after="40"/>
      </w:pPr>
      <w:r>
        <w:t>Unidad de medida, carácter acumulativo y sentido ascendente/descendente.</w:t>
      </w:r>
    </w:p>
    <w:p>
      <w:pPr>
        <w:pStyle w:val="ListBullet"/>
        <w:spacing w:after="40"/>
      </w:pPr>
      <w:r>
        <w:t>Ámbito territorial y frecuencia de actualización.</w:t>
      </w:r>
    </w:p>
    <w:p>
      <w:pPr>
        <w:pStyle w:val="ListBullet"/>
        <w:spacing w:after="40"/>
      </w:pPr>
      <w:r>
        <w:t>Línea base y periodo de línea base.</w:t>
      </w:r>
    </w:p>
    <w:p>
      <w:pPr>
        <w:pStyle w:val="ListBullet"/>
        <w:spacing w:after="40"/>
      </w:pPr>
      <w:r>
        <w:t>Fuente de verificación y responsable.</w:t>
      </w:r>
    </w:p>
    <w:p>
      <w:pPr>
        <w:pStyle w:val="ListBullet"/>
        <w:spacing w:after="40"/>
      </w:pPr>
      <w:r>
        <w:t>Criterios, meta y periodo de meta.</w:t>
      </w:r>
    </w:p>
    <w:p>
      <w:pPr>
        <w:pStyle w:val="ListBullet"/>
        <w:spacing w:after="40"/>
      </w:pPr>
      <w:r>
        <w:t>Reglas de semaforización y observaciones.</w:t>
      </w:r>
    </w:p>
    <w:p>
      <w:pPr>
        <w:pStyle w:val="Heading2"/>
      </w:pPr>
      <w:r>
        <w:t>7.3 Variables y cálculos</w:t>
      </w:r>
    </w:p>
    <w:p>
      <w:r>
        <w:t>La demostración operativa contempla tipos como porcentaje de razón, razón por cada mil, razón por cada cien mil, razón simple, promedio, suma, porcentaje de pérdida y variación. Esta lista es una referencia inicial: el catálogo real determinará las fórmulas requeridas y si es necesario incorporar otros tipos.</w:t>
      </w:r>
    </w:p>
    <w:p>
      <w:pPr>
        <w:pStyle w:val="Heading2"/>
      </w:pPr>
      <w:r>
        <w:t>7.4 Dimensiones territoriales</w:t>
      </w:r>
    </w:p>
    <w:p>
      <w:r>
        <w:t>La demostración administrativa muestra Municipio, Localidad, Colonia/fraccionamiento y UGAT. Debe confirmarse si estas son las unidades oficiales que se usarán, qué indicadores admiten cada desagregación y cómo se gestionarán claves y cambios territoriales.</w:t>
      </w:r>
    </w:p>
    <w:p>
      <w:pPr>
        <w:pStyle w:val="Heading2"/>
      </w:pPr>
      <w:r>
        <w:t>7.5 Agrupaciones temáticas</w:t>
      </w:r>
    </w:p>
    <w:p>
      <w:r>
        <w:t>La demostración del dashboard muestra ocho agrupaciones temáticas de ejemplo. El catálogo institucional deberá definir sus nombres, orden, reglas y relación con los indicadores. No se deben asumir los nombres de la demostración como definitivos.</w:t>
      </w:r>
    </w:p>
    <w:p>
      <w:pPr>
        <w:pStyle w:val="Heading1"/>
      </w:pPr>
      <w:r>
        <w:t>8. Arquitectura y tecnologías candidatas</w:t>
      </w:r>
    </w:p>
    <w:p>
      <w:r>
        <w:t>La arquitectura recomendada hasta ahora es una propuesta, no una decisión institucional definitiva.</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143A52"/>
          </w:tcPr>
          <w:p>
            <w:pPr>
              <w:spacing w:after="20"/>
            </w:pPr>
            <w:r/>
            <w:r>
              <w:rPr>
                <w:rFonts w:ascii="Aptos" w:hAnsi="Aptos"/>
                <w:b/>
                <w:color w:val="FFFFFF"/>
                <w:sz w:val="16"/>
              </w:rPr>
              <w:t>Capa</w:t>
            </w:r>
          </w:p>
        </w:tc>
        <w:tc>
          <w:tcPr>
            <w:tcW w:type="dxa" w:w="3024"/>
            <w:vAlign w:val="center"/>
            <w:shd w:fill="143A52"/>
          </w:tcPr>
          <w:p>
            <w:pPr>
              <w:spacing w:after="20"/>
            </w:pPr>
            <w:r/>
            <w:r>
              <w:rPr>
                <w:rFonts w:ascii="Aptos" w:hAnsi="Aptos"/>
                <w:b/>
                <w:color w:val="FFFFFF"/>
                <w:sz w:val="16"/>
              </w:rPr>
              <w:t>Tecnología candidata</w:t>
            </w:r>
          </w:p>
        </w:tc>
        <w:tc>
          <w:tcPr>
            <w:tcW w:type="dxa" w:w="5760"/>
            <w:vAlign w:val="center"/>
            <w:shd w:fill="143A52"/>
          </w:tcPr>
          <w:p>
            <w:pPr>
              <w:spacing w:after="20"/>
            </w:pPr>
            <w:r/>
            <w:r>
              <w:rPr>
                <w:rFonts w:ascii="Aptos" w:hAnsi="Aptos"/>
                <w:b/>
                <w:color w:val="FFFFFF"/>
                <w:sz w:val="16"/>
              </w:rPr>
              <w:t>Motivo / consideraciones</w:t>
            </w:r>
          </w:p>
        </w:tc>
      </w:tr>
      <w:tr>
        <w:tc>
          <w:tcPr>
            <w:tcW w:type="dxa" w:w="1872"/>
            <w:vAlign w:val="center"/>
          </w:tcPr>
          <w:p>
            <w:pPr>
              <w:spacing w:after="20"/>
            </w:pPr>
            <w:r/>
            <w:r>
              <w:rPr>
                <w:rFonts w:ascii="Aptos" w:hAnsi="Aptos"/>
                <w:b w:val="0"/>
                <w:sz w:val="16"/>
              </w:rPr>
              <w:t>Backend y API</w:t>
            </w:r>
          </w:p>
        </w:tc>
        <w:tc>
          <w:tcPr>
            <w:tcW w:type="dxa" w:w="3024"/>
            <w:vAlign w:val="center"/>
          </w:tcPr>
          <w:p>
            <w:pPr>
              <w:spacing w:after="20"/>
            </w:pPr>
            <w:r/>
            <w:r>
              <w:rPr>
                <w:rFonts w:ascii="Aptos" w:hAnsi="Aptos"/>
                <w:b w:val="0"/>
                <w:sz w:val="16"/>
              </w:rPr>
              <w:t>PHP con Laravel</w:t>
            </w:r>
          </w:p>
        </w:tc>
        <w:tc>
          <w:tcPr>
            <w:tcW w:type="dxa" w:w="5760"/>
            <w:vAlign w:val="center"/>
          </w:tcPr>
          <w:p>
            <w:pPr>
              <w:spacing w:after="20"/>
            </w:pPr>
            <w:r/>
            <w:r>
              <w:rPr>
                <w:rFonts w:ascii="Aptos" w:hAnsi="Aptos"/>
                <w:b w:val="0"/>
                <w:sz w:val="16"/>
              </w:rPr>
              <w:t>Organiza reglas de negocio, autenticación, permisos, validación, auditoría y endpoints. Confirmar experiencia del equipo y compatibilidad del alojamiento.</w:t>
            </w:r>
          </w:p>
        </w:tc>
      </w:tr>
      <w:tr>
        <w:tc>
          <w:tcPr>
            <w:tcW w:type="dxa" w:w="1872"/>
            <w:vAlign w:val="center"/>
            <w:shd w:fill="F1F5F7"/>
          </w:tcPr>
          <w:p>
            <w:pPr>
              <w:spacing w:after="20"/>
            </w:pPr>
            <w:r/>
            <w:r>
              <w:rPr>
                <w:rFonts w:ascii="Aptos" w:hAnsi="Aptos"/>
                <w:b w:val="0"/>
                <w:sz w:val="16"/>
              </w:rPr>
              <w:t>Frontend</w:t>
            </w:r>
          </w:p>
        </w:tc>
        <w:tc>
          <w:tcPr>
            <w:tcW w:type="dxa" w:w="3024"/>
            <w:vAlign w:val="center"/>
            <w:shd w:fill="F1F5F7"/>
          </w:tcPr>
          <w:p>
            <w:pPr>
              <w:spacing w:after="20"/>
            </w:pPr>
            <w:r/>
            <w:r>
              <w:rPr>
                <w:rFonts w:ascii="Aptos" w:hAnsi="Aptos"/>
                <w:b w:val="0"/>
                <w:sz w:val="16"/>
              </w:rPr>
              <w:t>React + TypeScript</w:t>
            </w:r>
          </w:p>
        </w:tc>
        <w:tc>
          <w:tcPr>
            <w:tcW w:type="dxa" w:w="5760"/>
            <w:vAlign w:val="center"/>
            <w:shd w:fill="F1F5F7"/>
          </w:tcPr>
          <w:p>
            <w:pPr>
              <w:spacing w:after="20"/>
            </w:pPr>
            <w:r/>
            <w:r>
              <w:rPr>
                <w:rFonts w:ascii="Aptos" w:hAnsi="Aptos"/>
                <w:b w:val="0"/>
                <w:sz w:val="16"/>
              </w:rPr>
              <w:t>Permite construir dashboards, formularios, tablas, filtros y módulos interactivos con tipos explícitos.</w:t>
            </w:r>
          </w:p>
        </w:tc>
      </w:tr>
      <w:tr>
        <w:tc>
          <w:tcPr>
            <w:tcW w:type="dxa" w:w="1872"/>
            <w:vAlign w:val="center"/>
          </w:tcPr>
          <w:p>
            <w:pPr>
              <w:spacing w:after="20"/>
            </w:pPr>
            <w:r/>
            <w:r>
              <w:rPr>
                <w:rFonts w:ascii="Aptos" w:hAnsi="Aptos"/>
                <w:b w:val="0"/>
                <w:sz w:val="16"/>
              </w:rPr>
              <w:t>Base de datos</w:t>
            </w:r>
          </w:p>
        </w:tc>
        <w:tc>
          <w:tcPr>
            <w:tcW w:type="dxa" w:w="3024"/>
            <w:vAlign w:val="center"/>
          </w:tcPr>
          <w:p>
            <w:pPr>
              <w:spacing w:after="20"/>
            </w:pPr>
            <w:r/>
            <w:r>
              <w:rPr>
                <w:rFonts w:ascii="Aptos" w:hAnsi="Aptos"/>
                <w:b w:val="0"/>
                <w:sz w:val="16"/>
              </w:rPr>
              <w:t>PostgreSQL</w:t>
            </w:r>
          </w:p>
        </w:tc>
        <w:tc>
          <w:tcPr>
            <w:tcW w:type="dxa" w:w="5760"/>
            <w:vAlign w:val="center"/>
          </w:tcPr>
          <w:p>
            <w:pPr>
              <w:spacing w:after="20"/>
            </w:pPr>
            <w:r/>
            <w:r>
              <w:rPr>
                <w:rFonts w:ascii="Aptos" w:hAnsi="Aptos"/>
                <w:b w:val="0"/>
                <w:sz w:val="16"/>
              </w:rPr>
              <w:t>Adecuada para datos relacionales, historial, consultas analíticas y consistencia transaccional.</w:t>
            </w:r>
          </w:p>
        </w:tc>
      </w:tr>
      <w:tr>
        <w:tc>
          <w:tcPr>
            <w:tcW w:type="dxa" w:w="1872"/>
            <w:vAlign w:val="center"/>
            <w:shd w:fill="F1F5F7"/>
          </w:tcPr>
          <w:p>
            <w:pPr>
              <w:spacing w:after="20"/>
            </w:pPr>
            <w:r/>
            <w:r>
              <w:rPr>
                <w:rFonts w:ascii="Aptos" w:hAnsi="Aptos"/>
                <w:b w:val="0"/>
                <w:sz w:val="16"/>
              </w:rPr>
              <w:t>Gráficas</w:t>
            </w:r>
          </w:p>
        </w:tc>
        <w:tc>
          <w:tcPr>
            <w:tcW w:type="dxa" w:w="3024"/>
            <w:vAlign w:val="center"/>
            <w:shd w:fill="F1F5F7"/>
          </w:tcPr>
          <w:p>
            <w:pPr>
              <w:spacing w:after="20"/>
            </w:pPr>
            <w:r/>
            <w:r>
              <w:rPr>
                <w:rFonts w:ascii="Aptos" w:hAnsi="Aptos"/>
                <w:b w:val="0"/>
                <w:sz w:val="16"/>
              </w:rPr>
              <w:t>Biblioteca compatible con React (por seleccionar)</w:t>
            </w:r>
          </w:p>
        </w:tc>
        <w:tc>
          <w:tcPr>
            <w:tcW w:type="dxa" w:w="5760"/>
            <w:vAlign w:val="center"/>
            <w:shd w:fill="F1F5F7"/>
          </w:tcPr>
          <w:p>
            <w:pPr>
              <w:spacing w:after="20"/>
            </w:pPr>
            <w:r/>
            <w:r>
              <w:rPr>
                <w:rFonts w:ascii="Aptos" w:hAnsi="Aptos"/>
                <w:b w:val="0"/>
                <w:sz w:val="16"/>
              </w:rPr>
              <w:t>Elegir según accesibilidad, interactividad, mantenimiento y complejidad de visualizaciones.</w:t>
            </w:r>
          </w:p>
        </w:tc>
      </w:tr>
      <w:tr>
        <w:tc>
          <w:tcPr>
            <w:tcW w:type="dxa" w:w="1872"/>
            <w:vAlign w:val="center"/>
          </w:tcPr>
          <w:p>
            <w:pPr>
              <w:spacing w:after="20"/>
            </w:pPr>
            <w:r/>
            <w:r>
              <w:rPr>
                <w:rFonts w:ascii="Aptos" w:hAnsi="Aptos"/>
                <w:b w:val="0"/>
                <w:sz w:val="16"/>
              </w:rPr>
              <w:t>PDF y Excel</w:t>
            </w:r>
          </w:p>
        </w:tc>
        <w:tc>
          <w:tcPr>
            <w:tcW w:type="dxa" w:w="3024"/>
            <w:vAlign w:val="center"/>
          </w:tcPr>
          <w:p>
            <w:pPr>
              <w:spacing w:after="20"/>
            </w:pPr>
            <w:r/>
            <w:r>
              <w:rPr>
                <w:rFonts w:ascii="Aptos" w:hAnsi="Aptos"/>
                <w:b w:val="0"/>
                <w:sz w:val="16"/>
              </w:rPr>
              <w:t>Bibliotecas compatibles con el backend</w:t>
            </w:r>
          </w:p>
        </w:tc>
        <w:tc>
          <w:tcPr>
            <w:tcW w:type="dxa" w:w="5760"/>
            <w:vAlign w:val="center"/>
          </w:tcPr>
          <w:p>
            <w:pPr>
              <w:spacing w:after="20"/>
            </w:pPr>
            <w:r/>
            <w:r>
              <w:rPr>
                <w:rFonts w:ascii="Aptos" w:hAnsi="Aptos"/>
                <w:b w:val="0"/>
                <w:sz w:val="16"/>
              </w:rPr>
              <w:t>Definir formato, rendimiento, fuentes y límites de exportación.</w:t>
            </w:r>
          </w:p>
        </w:tc>
      </w:tr>
      <w:tr>
        <w:tc>
          <w:tcPr>
            <w:tcW w:type="dxa" w:w="1872"/>
            <w:vAlign w:val="center"/>
            <w:shd w:fill="F1F5F7"/>
          </w:tcPr>
          <w:p>
            <w:pPr>
              <w:spacing w:after="20"/>
            </w:pPr>
            <w:r/>
            <w:r>
              <w:rPr>
                <w:rFonts w:ascii="Aptos" w:hAnsi="Aptos"/>
                <w:b w:val="0"/>
                <w:sz w:val="16"/>
              </w:rPr>
              <w:t>Almacenamiento de evidencias</w:t>
            </w:r>
          </w:p>
        </w:tc>
        <w:tc>
          <w:tcPr>
            <w:tcW w:type="dxa" w:w="3024"/>
            <w:vAlign w:val="center"/>
            <w:shd w:fill="F1F5F7"/>
          </w:tcPr>
          <w:p>
            <w:pPr>
              <w:spacing w:after="20"/>
            </w:pPr>
            <w:r/>
            <w:r>
              <w:rPr>
                <w:rFonts w:ascii="Aptos" w:hAnsi="Aptos"/>
                <w:b w:val="0"/>
                <w:sz w:val="16"/>
              </w:rPr>
              <w:t>Almacenamiento privado del servidor o servicio autorizado</w:t>
            </w:r>
          </w:p>
        </w:tc>
        <w:tc>
          <w:tcPr>
            <w:tcW w:type="dxa" w:w="5760"/>
            <w:vAlign w:val="center"/>
            <w:shd w:fill="F1F5F7"/>
          </w:tcPr>
          <w:p>
            <w:pPr>
              <w:spacing w:after="20"/>
            </w:pPr>
            <w:r/>
            <w:r>
              <w:rPr>
                <w:rFonts w:ascii="Aptos" w:hAnsi="Aptos"/>
                <w:b w:val="0"/>
                <w:sz w:val="16"/>
              </w:rPr>
              <w:t>Evitar archivos públicos; definir límites, permisos, respaldos y retención.</w:t>
            </w:r>
          </w:p>
        </w:tc>
      </w:tr>
      <w:tr>
        <w:tc>
          <w:tcPr>
            <w:tcW w:type="dxa" w:w="1872"/>
            <w:vAlign w:val="center"/>
          </w:tcPr>
          <w:p>
            <w:pPr>
              <w:spacing w:after="20"/>
            </w:pPr>
            <w:r/>
            <w:r>
              <w:rPr>
                <w:rFonts w:ascii="Aptos" w:hAnsi="Aptos"/>
                <w:b w:val="0"/>
                <w:sz w:val="16"/>
              </w:rPr>
              <w:t>Chat</w:t>
            </w:r>
          </w:p>
        </w:tc>
        <w:tc>
          <w:tcPr>
            <w:tcW w:type="dxa" w:w="3024"/>
            <w:vAlign w:val="center"/>
          </w:tcPr>
          <w:p>
            <w:pPr>
              <w:spacing w:after="20"/>
            </w:pPr>
            <w:r/>
            <w:r>
              <w:rPr>
                <w:rFonts w:ascii="Aptos" w:hAnsi="Aptos"/>
                <w:b w:val="0"/>
                <w:sz w:val="16"/>
              </w:rPr>
              <w:t>Módulo interno; tiempo real opcional</w:t>
            </w:r>
          </w:p>
        </w:tc>
        <w:tc>
          <w:tcPr>
            <w:tcW w:type="dxa" w:w="5760"/>
            <w:vAlign w:val="center"/>
          </w:tcPr>
          <w:p>
            <w:pPr>
              <w:spacing w:after="20"/>
            </w:pPr>
            <w:r/>
            <w:r>
              <w:rPr>
                <w:rFonts w:ascii="Aptos" w:hAnsi="Aptos"/>
                <w:b w:val="0"/>
                <w:sz w:val="16"/>
              </w:rPr>
              <w:t>El tiempo real puede aumentar la complejidad; decidir si se requiere en primera entrega o si bastan mensajes y notificaciones iniciales.</w:t>
            </w:r>
          </w:p>
        </w:tc>
      </w:tr>
    </w:tbl>
    <w:p>
      <w:pPr>
        <w:spacing w:after="20"/>
      </w:pPr>
    </w:p>
    <w:p>
      <w:pPr>
        <w:pStyle w:val="Heading2"/>
      </w:pPr>
      <w:r>
        <w:t>8.1 Principios arquitectónicos</w:t>
      </w:r>
    </w:p>
    <w:p>
      <w:pPr>
        <w:pStyle w:val="ListBullet"/>
        <w:spacing w:after="40"/>
      </w:pPr>
      <w:r>
        <w:t>Separar la interfaz, las reglas de negocio y la persistencia de datos.</w:t>
      </w:r>
    </w:p>
    <w:p>
      <w:pPr>
        <w:pStyle w:val="ListBullet"/>
        <w:spacing w:after="40"/>
      </w:pPr>
      <w:r>
        <w:t>Centralizar cálculos en backend o en un motor compartido y verificable; evitar que diferentes pantallas calculen el mismo indicador con reglas distintas.</w:t>
      </w:r>
    </w:p>
    <w:p>
      <w:pPr>
        <w:pStyle w:val="ListBullet"/>
        <w:spacing w:after="40"/>
      </w:pPr>
      <w:r>
        <w:t>Versionar el código en Git y mantener entornos separados para desarrollo, pruebas y producción.</w:t>
      </w:r>
    </w:p>
    <w:p>
      <w:pPr>
        <w:pStyle w:val="ListBullet"/>
        <w:spacing w:after="40"/>
      </w:pPr>
      <w:r>
        <w:t>Usar migraciones de base de datos y documentación de instalación/despliegue.</w:t>
      </w:r>
    </w:p>
    <w:p>
      <w:pPr>
        <w:pStyle w:val="ListBullet"/>
        <w:spacing w:after="40"/>
      </w:pPr>
      <w:r>
        <w:t>No incluir secretos, contraseñas o claves privadas en el repositorio.</w:t>
      </w:r>
    </w:p>
    <w:p>
      <w:pPr>
        <w:pStyle w:val="ListBullet"/>
        <w:spacing w:after="40"/>
      </w:pPr>
      <w:r>
        <w:t>Confirmar con TI/administración la infraestructura, el dominio o acceso interno, el sistema operativo, los respaldos y las restricciones de red.</w:t>
      </w:r>
    </w:p>
    <w:p>
      <w:pPr>
        <w:pStyle w:val="Heading1"/>
      </w:pPr>
      <w:r>
        <w:t>9. Seguridad, privacidad y auditoría</w:t>
      </w:r>
    </w:p>
    <w:p>
      <w:pPr>
        <w:pStyle w:val="ListBullet"/>
        <w:spacing w:after="40"/>
      </w:pPr>
      <w:r>
        <w:t>Acceso restringido y autenticación segura.</w:t>
      </w:r>
    </w:p>
    <w:p>
      <w:pPr>
        <w:pStyle w:val="ListBullet"/>
        <w:spacing w:after="40"/>
      </w:pPr>
      <w:r>
        <w:t>Autorización verificada en el servidor para cada operación, no solamente ocultando botones en la interfaz.</w:t>
      </w:r>
    </w:p>
    <w:p>
      <w:pPr>
        <w:pStyle w:val="ListBullet"/>
        <w:spacing w:after="40"/>
      </w:pPr>
      <w:r>
        <w:t>Validación de entradas, protección contra inyección, ataques de sesión y cargas maliciosas.</w:t>
      </w:r>
    </w:p>
    <w:p>
      <w:pPr>
        <w:pStyle w:val="ListBullet"/>
        <w:spacing w:after="40"/>
      </w:pPr>
      <w:r>
        <w:t>Archivos privados, con control de tipo y tamaño, nombres seguros y autorización de descarga.</w:t>
      </w:r>
    </w:p>
    <w:p>
      <w:pPr>
        <w:pStyle w:val="ListBullet"/>
        <w:spacing w:after="40"/>
      </w:pPr>
      <w:r>
        <w:t>Cifrado en tránsito mediante HTTPS cuando la infraestructura lo permita y exija.</w:t>
      </w:r>
    </w:p>
    <w:p>
      <w:pPr>
        <w:pStyle w:val="ListBullet"/>
        <w:spacing w:after="40"/>
      </w:pPr>
      <w:r>
        <w:t>Registro de altas, cambios, revisiones, validaciones, cierres, exportaciones sensibles y cambios de permisos.</w:t>
      </w:r>
    </w:p>
    <w:p>
      <w:pPr>
        <w:pStyle w:val="ListBullet"/>
        <w:spacing w:after="40"/>
      </w:pPr>
      <w:r>
        <w:t>Política de respaldo para base de datos y evidencias, con pruebas periódicas de restauración.</w:t>
      </w:r>
    </w:p>
    <w:p>
      <w:pPr>
        <w:pStyle w:val="ListBullet"/>
        <w:spacing w:after="40"/>
      </w:pPr>
      <w:r>
        <w:t>Procedimiento para desactivar cuentas, revocar sesiones y responder ante incidentes.</w:t>
      </w:r>
    </w:p>
    <w:p>
      <w:pPr>
        <w:pStyle w:val="ListBullet"/>
        <w:spacing w:after="40"/>
      </w:pPr>
      <w:r>
        <w:t>Retención y acceso a los datos conforme a las políticas institucionales y la normativa aplicable.</w:t>
      </w:r>
    </w:p>
    <w:p>
      <w:pPr>
        <w:pStyle w:val="ListBullet"/>
        <w:spacing w:after="40"/>
      </w:pPr>
      <w:r>
        <w:t>Uso de datos de prueba para desarrollo y evitar exponer información real en cuentas personales o servicios externos no autorizados.</w:t>
      </w:r>
    </w:p>
    <w:p>
      <w:r>
        <w:t>Los requisitos de seguridad concretos deberán ser revisados por la persona responsable de TI y por la institución. Este documento no sustituye una evaluación de seguridad ni asesoría legal.</w:t>
      </w:r>
    </w:p>
    <w:p>
      <w:pPr>
        <w:pStyle w:val="Heading1"/>
      </w:pPr>
      <w:r>
        <w:t>10. Reportes, análisis y visualización</w:t>
      </w:r>
    </w:p>
    <w:p>
      <w:pPr>
        <w:pStyle w:val="Heading2"/>
      </w:pPr>
      <w:r>
        <w:t>10.1 Dashboard general</w:t>
      </w:r>
    </w:p>
    <w:p>
      <w:pPr>
        <w:pStyle w:val="ListBullet"/>
        <w:spacing w:after="40"/>
      </w:pPr>
      <w:r>
        <w:t>Filtro por periodo de reporte.</w:t>
      </w:r>
    </w:p>
    <w:p>
      <w:pPr>
        <w:pStyle w:val="ListBullet"/>
        <w:spacing w:after="40"/>
      </w:pPr>
      <w:r>
        <w:t>Tarjetas de indicadores publicados/validados, pendientes, observados, sin datos o fuera de fecha, según definiciones aprobadas.</w:t>
      </w:r>
    </w:p>
    <w:p>
      <w:pPr>
        <w:pStyle w:val="ListBullet"/>
        <w:spacing w:after="40"/>
      </w:pPr>
      <w:r>
        <w:t>Evolución por agrupación temática.</w:t>
      </w:r>
    </w:p>
    <w:p>
      <w:pPr>
        <w:pStyle w:val="ListBullet"/>
        <w:spacing w:after="40"/>
      </w:pPr>
      <w:r>
        <w:t>Distribución por semáforo con la cantidad evaluada y la cantidad no evaluable visible.</w:t>
      </w:r>
    </w:p>
    <w:p>
      <w:pPr>
        <w:pStyle w:val="ListBullet"/>
        <w:spacing w:after="40"/>
      </w:pPr>
      <w:r>
        <w:t>Detalle de cada agrupación con estado, resultado agregado, cobertura y variación temporal cuando proceda.</w:t>
      </w:r>
    </w:p>
    <w:p>
      <w:pPr>
        <w:pStyle w:val="ListBullet"/>
        <w:spacing w:after="40"/>
      </w:pPr>
      <w:r>
        <w:t>Indicadores prioritarios con último valor, estado, tendencia y comentario.</w:t>
      </w:r>
    </w:p>
    <w:p>
      <w:pPr>
        <w:pStyle w:val="ListBullet"/>
        <w:spacing w:after="40"/>
      </w:pPr>
      <w:r>
        <w:t>Alertas de captura pendiente, información desactualizada, falta de evidencia y cambios relevantes.</w:t>
      </w:r>
    </w:p>
    <w:p>
      <w:pPr>
        <w:pStyle w:val="Heading2"/>
      </w:pPr>
      <w:r>
        <w:t>10.2 Reportes mínimos propuestos</w:t>
      </w:r>
    </w:p>
    <w:p>
      <w:pPr>
        <w:pStyle w:val="ListBullet"/>
        <w:spacing w:after="40"/>
      </w:pPr>
      <w:r>
        <w:t>Resumen ejecutivo por periodo.</w:t>
      </w:r>
    </w:p>
    <w:p>
      <w:pPr>
        <w:pStyle w:val="ListBullet"/>
        <w:spacing w:after="40"/>
      </w:pPr>
      <w:r>
        <w:t>Detalle técnico de un indicador con histórico, fórmula, meta, evidencia y validación.</w:t>
      </w:r>
    </w:p>
    <w:p>
      <w:pPr>
        <w:pStyle w:val="ListBullet"/>
        <w:spacing w:after="40"/>
      </w:pPr>
      <w:r>
        <w:t>Avance por agrupación temática.</w:t>
      </w:r>
    </w:p>
    <w:p>
      <w:pPr>
        <w:pStyle w:val="ListBullet"/>
        <w:spacing w:after="40"/>
      </w:pPr>
      <w:r>
        <w:t>Pendientes de captura, revisión y corrección por dependencia.</w:t>
      </w:r>
    </w:p>
    <w:p>
      <w:pPr>
        <w:pStyle w:val="ListBullet"/>
        <w:spacing w:after="40"/>
      </w:pPr>
      <w:r>
        <w:t>Comparación contra línea base y meta.</w:t>
      </w:r>
    </w:p>
    <w:p>
      <w:pPr>
        <w:pStyle w:val="ListBullet"/>
        <w:spacing w:after="40"/>
      </w:pPr>
      <w:r>
        <w:t>Reporte de calidad, cobertura y vigencia de los datos.</w:t>
      </w:r>
    </w:p>
    <w:p>
      <w:pPr>
        <w:pStyle w:val="ListBullet"/>
        <w:spacing w:after="40"/>
      </w:pPr>
      <w:r>
        <w:t>Bitácora o extracto de auditoría para perfiles autorizados.</w:t>
      </w:r>
    </w:p>
    <w:p>
      <w:pPr>
        <w:pStyle w:val="Heading2"/>
      </w:pPr>
      <w:r>
        <w:t>10.3 Exportaciones</w:t>
      </w:r>
    </w:p>
    <w:p>
      <w:r>
        <w:t>PDF y Excel son requisitos planteados. Deben conservar filtros, periodo, fecha de generación y estado de validación. Las exportaciones no deben presentar datos pendientes como oficiales sin identificarlos claramente.</w:t>
      </w:r>
    </w:p>
    <w:p>
      <w:pPr>
        <w:pStyle w:val="Heading1"/>
      </w:pPr>
      <w:r>
        <w:t>11. Plan de trabajo sugerido para cuatro meses</w:t>
      </w:r>
    </w:p>
    <w:p>
      <w:r>
        <w:t>La distribución siguiente es orientativa. Debe ajustarse después de conocer el número de desarrolladores, las horas disponibles, el estado de los datos y la fecha exacta de entrega. Conviene entregar incrementos funcionales tempranos en lugar de esperar hasta el final.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vAlign w:val="center"/>
            <w:shd w:fill="143A52"/>
          </w:tcPr>
          <w:p>
            <w:pPr>
              <w:spacing w:after="20"/>
            </w:pPr>
            <w:r/>
            <w:r>
              <w:rPr>
                <w:rFonts w:ascii="Aptos" w:hAnsi="Aptos"/>
                <w:b/>
                <w:color w:val="FFFFFF"/>
                <w:sz w:val="14"/>
              </w:rPr>
              <w:t>Etapa</w:t>
            </w:r>
          </w:p>
        </w:tc>
        <w:tc>
          <w:tcPr>
            <w:tcW w:type="dxa" w:w="1584"/>
            <w:vAlign w:val="center"/>
            <w:shd w:fill="143A52"/>
          </w:tcPr>
          <w:p>
            <w:pPr>
              <w:spacing w:after="20"/>
            </w:pPr>
            <w:r/>
            <w:r>
              <w:rPr>
                <w:rFonts w:ascii="Aptos" w:hAnsi="Aptos"/>
                <w:b/>
                <w:color w:val="FFFFFF"/>
                <w:sz w:val="14"/>
              </w:rPr>
              <w:t>Periodo tentativo</w:t>
            </w:r>
          </w:p>
        </w:tc>
        <w:tc>
          <w:tcPr>
            <w:tcW w:type="dxa" w:w="4608"/>
            <w:vAlign w:val="center"/>
            <w:shd w:fill="143A52"/>
          </w:tcPr>
          <w:p>
            <w:pPr>
              <w:spacing w:after="20"/>
            </w:pPr>
            <w:r/>
            <w:r>
              <w:rPr>
                <w:rFonts w:ascii="Aptos" w:hAnsi="Aptos"/>
                <w:b/>
                <w:color w:val="FFFFFF"/>
                <w:sz w:val="14"/>
              </w:rPr>
              <w:t>Entregables principales</w:t>
            </w:r>
          </w:p>
        </w:tc>
        <w:tc>
          <w:tcPr>
            <w:tcW w:type="dxa" w:w="2880"/>
            <w:vAlign w:val="center"/>
            <w:shd w:fill="143A52"/>
          </w:tcPr>
          <w:p>
            <w:pPr>
              <w:spacing w:after="20"/>
            </w:pPr>
            <w:r/>
            <w:r>
              <w:rPr>
                <w:rFonts w:ascii="Aptos" w:hAnsi="Aptos"/>
                <w:b/>
                <w:color w:val="FFFFFF"/>
                <w:sz w:val="14"/>
              </w:rPr>
              <w:t>Condición para avanzar</w:t>
            </w:r>
          </w:p>
        </w:tc>
      </w:tr>
      <w:tr>
        <w:tc>
          <w:tcPr>
            <w:tcW w:type="dxa" w:w="1944"/>
            <w:vAlign w:val="center"/>
          </w:tcPr>
          <w:p>
            <w:pPr>
              <w:spacing w:after="20"/>
            </w:pPr>
            <w:r/>
            <w:r>
              <w:rPr>
                <w:rFonts w:ascii="Aptos" w:hAnsi="Aptos"/>
                <w:b w:val="0"/>
                <w:sz w:val="14"/>
              </w:rPr>
              <w:t>0. Descubrimiento y diseño</w:t>
            </w:r>
          </w:p>
        </w:tc>
        <w:tc>
          <w:tcPr>
            <w:tcW w:type="dxa" w:w="1584"/>
            <w:vAlign w:val="center"/>
          </w:tcPr>
          <w:p>
            <w:pPr>
              <w:spacing w:after="20"/>
            </w:pPr>
            <w:r/>
            <w:r>
              <w:rPr>
                <w:rFonts w:ascii="Aptos" w:hAnsi="Aptos"/>
                <w:b w:val="0"/>
                <w:sz w:val="14"/>
              </w:rPr>
              <w:t>Semana 1–2</w:t>
            </w:r>
          </w:p>
        </w:tc>
        <w:tc>
          <w:tcPr>
            <w:tcW w:type="dxa" w:w="4608"/>
            <w:vAlign w:val="center"/>
          </w:tcPr>
          <w:p>
            <w:pPr>
              <w:spacing w:after="20"/>
            </w:pPr>
            <w:r/>
            <w:r>
              <w:rPr>
                <w:rFonts w:ascii="Aptos" w:hAnsi="Aptos"/>
                <w:b w:val="0"/>
                <w:sz w:val="14"/>
              </w:rPr>
              <w:t>Requisitos validados, mapa de módulos, catálogo de datos, roles, flujo de aprobación, reglas iniciales y prototipo navegable.</w:t>
            </w:r>
          </w:p>
        </w:tc>
        <w:tc>
          <w:tcPr>
            <w:tcW w:type="dxa" w:w="2880"/>
            <w:vAlign w:val="center"/>
          </w:tcPr>
          <w:p>
            <w:pPr>
              <w:spacing w:after="20"/>
            </w:pPr>
            <w:r/>
            <w:r>
              <w:rPr>
                <w:rFonts w:ascii="Aptos" w:hAnsi="Aptos"/>
                <w:b w:val="0"/>
                <w:sz w:val="14"/>
              </w:rPr>
              <w:t>Personas responsables confirman los procesos y las reglas críticas.</w:t>
            </w:r>
          </w:p>
        </w:tc>
      </w:tr>
      <w:tr>
        <w:tc>
          <w:tcPr>
            <w:tcW w:type="dxa" w:w="1944"/>
            <w:vAlign w:val="center"/>
            <w:shd w:fill="F1F5F7"/>
          </w:tcPr>
          <w:p>
            <w:pPr>
              <w:spacing w:after="20"/>
            </w:pPr>
            <w:r/>
            <w:r>
              <w:rPr>
                <w:rFonts w:ascii="Aptos" w:hAnsi="Aptos"/>
                <w:b w:val="0"/>
                <w:sz w:val="14"/>
              </w:rPr>
              <w:t>1. Fundamentos</w:t>
            </w:r>
          </w:p>
        </w:tc>
        <w:tc>
          <w:tcPr>
            <w:tcW w:type="dxa" w:w="1584"/>
            <w:vAlign w:val="center"/>
            <w:shd w:fill="F1F5F7"/>
          </w:tcPr>
          <w:p>
            <w:pPr>
              <w:spacing w:after="20"/>
            </w:pPr>
            <w:r/>
            <w:r>
              <w:rPr>
                <w:rFonts w:ascii="Aptos" w:hAnsi="Aptos"/>
                <w:b w:val="0"/>
                <w:sz w:val="14"/>
              </w:rPr>
              <w:t>Semana 3–5</w:t>
            </w:r>
          </w:p>
        </w:tc>
        <w:tc>
          <w:tcPr>
            <w:tcW w:type="dxa" w:w="4608"/>
            <w:vAlign w:val="center"/>
            <w:shd w:fill="F1F5F7"/>
          </w:tcPr>
          <w:p>
            <w:pPr>
              <w:spacing w:after="20"/>
            </w:pPr>
            <w:r/>
            <w:r>
              <w:rPr>
                <w:rFonts w:ascii="Aptos" w:hAnsi="Aptos"/>
                <w:b w:val="0"/>
                <w:sz w:val="14"/>
              </w:rPr>
              <w:t>Repositorio, entorno, base de datos, autenticación, permisos, dependencias, periodos y catálogo de indicadores.</w:t>
            </w:r>
          </w:p>
        </w:tc>
        <w:tc>
          <w:tcPr>
            <w:tcW w:type="dxa" w:w="2880"/>
            <w:vAlign w:val="center"/>
            <w:shd w:fill="F1F5F7"/>
          </w:tcPr>
          <w:p>
            <w:pPr>
              <w:spacing w:after="20"/>
            </w:pPr>
            <w:r/>
            <w:r>
              <w:rPr>
                <w:rFonts w:ascii="Aptos" w:hAnsi="Aptos"/>
                <w:b w:val="0"/>
                <w:sz w:val="14"/>
              </w:rPr>
              <w:t>Usuarios y datos de prueba cargados; acceso y permisos probados.</w:t>
            </w:r>
          </w:p>
        </w:tc>
      </w:tr>
      <w:tr>
        <w:tc>
          <w:tcPr>
            <w:tcW w:type="dxa" w:w="1944"/>
            <w:vAlign w:val="center"/>
          </w:tcPr>
          <w:p>
            <w:pPr>
              <w:spacing w:after="20"/>
            </w:pPr>
            <w:r/>
            <w:r>
              <w:rPr>
                <w:rFonts w:ascii="Aptos" w:hAnsi="Aptos"/>
                <w:b w:val="0"/>
                <w:sz w:val="14"/>
              </w:rPr>
              <w:t>2. Operación</w:t>
            </w:r>
          </w:p>
        </w:tc>
        <w:tc>
          <w:tcPr>
            <w:tcW w:type="dxa" w:w="1584"/>
            <w:vAlign w:val="center"/>
          </w:tcPr>
          <w:p>
            <w:pPr>
              <w:spacing w:after="20"/>
            </w:pPr>
            <w:r/>
            <w:r>
              <w:rPr>
                <w:rFonts w:ascii="Aptos" w:hAnsi="Aptos"/>
                <w:b w:val="0"/>
                <w:sz w:val="14"/>
              </w:rPr>
              <w:t>Semana 6–9</w:t>
            </w:r>
          </w:p>
        </w:tc>
        <w:tc>
          <w:tcPr>
            <w:tcW w:type="dxa" w:w="4608"/>
            <w:vAlign w:val="center"/>
          </w:tcPr>
          <w:p>
            <w:pPr>
              <w:spacing w:after="20"/>
            </w:pPr>
            <w:r/>
            <w:r>
              <w:rPr>
                <w:rFonts w:ascii="Aptos" w:hAnsi="Aptos"/>
                <w:b w:val="0"/>
                <w:sz w:val="14"/>
              </w:rPr>
              <w:t>Fichas técnicas, captura, fórmulas iniciales, evidencias, cola de revisión, observaciones y validación.</w:t>
            </w:r>
          </w:p>
        </w:tc>
        <w:tc>
          <w:tcPr>
            <w:tcW w:type="dxa" w:w="2880"/>
            <w:vAlign w:val="center"/>
          </w:tcPr>
          <w:p>
            <w:pPr>
              <w:spacing w:after="20"/>
            </w:pPr>
            <w:r/>
            <w:r>
              <w:rPr>
                <w:rFonts w:ascii="Aptos" w:hAnsi="Aptos"/>
                <w:b w:val="0"/>
                <w:sz w:val="14"/>
              </w:rPr>
              <w:t>Un conjunto de indicadores representativos completa el flujo de extremo a extremo.</w:t>
            </w:r>
          </w:p>
        </w:tc>
      </w:tr>
      <w:tr>
        <w:tc>
          <w:tcPr>
            <w:tcW w:type="dxa" w:w="1944"/>
            <w:vAlign w:val="center"/>
            <w:shd w:fill="F1F5F7"/>
          </w:tcPr>
          <w:p>
            <w:pPr>
              <w:spacing w:after="20"/>
            </w:pPr>
            <w:r/>
            <w:r>
              <w:rPr>
                <w:rFonts w:ascii="Aptos" w:hAnsi="Aptos"/>
                <w:b w:val="0"/>
                <w:sz w:val="14"/>
              </w:rPr>
              <w:t>3. Dashboard y reportes</w:t>
            </w:r>
          </w:p>
        </w:tc>
        <w:tc>
          <w:tcPr>
            <w:tcW w:type="dxa" w:w="1584"/>
            <w:vAlign w:val="center"/>
            <w:shd w:fill="F1F5F7"/>
          </w:tcPr>
          <w:p>
            <w:pPr>
              <w:spacing w:after="20"/>
            </w:pPr>
            <w:r/>
            <w:r>
              <w:rPr>
                <w:rFonts w:ascii="Aptos" w:hAnsi="Aptos"/>
                <w:b w:val="0"/>
                <w:sz w:val="14"/>
              </w:rPr>
              <w:t>Semana 10–13</w:t>
            </w:r>
          </w:p>
        </w:tc>
        <w:tc>
          <w:tcPr>
            <w:tcW w:type="dxa" w:w="4608"/>
            <w:vAlign w:val="center"/>
            <w:shd w:fill="F1F5F7"/>
          </w:tcPr>
          <w:p>
            <w:pPr>
              <w:spacing w:after="20"/>
            </w:pPr>
            <w:r/>
            <w:r>
              <w:rPr>
                <w:rFonts w:ascii="Aptos" w:hAnsi="Aptos"/>
                <w:b w:val="0"/>
                <w:sz w:val="14"/>
              </w:rPr>
              <w:t>Dashboard, filtros, gráficas, comparación temporal, PDF/Excel e historial de reportes.</w:t>
            </w:r>
          </w:p>
        </w:tc>
        <w:tc>
          <w:tcPr>
            <w:tcW w:type="dxa" w:w="2880"/>
            <w:vAlign w:val="center"/>
            <w:shd w:fill="F1F5F7"/>
          </w:tcPr>
          <w:p>
            <w:pPr>
              <w:spacing w:after="20"/>
            </w:pPr>
            <w:r/>
            <w:r>
              <w:rPr>
                <w:rFonts w:ascii="Aptos" w:hAnsi="Aptos"/>
                <w:b w:val="0"/>
                <w:sz w:val="14"/>
              </w:rPr>
              <w:t>Resultados coinciden con cálculos revisados manualmente.</w:t>
            </w:r>
          </w:p>
        </w:tc>
      </w:tr>
      <w:tr>
        <w:tc>
          <w:tcPr>
            <w:tcW w:type="dxa" w:w="1944"/>
            <w:vAlign w:val="center"/>
          </w:tcPr>
          <w:p>
            <w:pPr>
              <w:spacing w:after="20"/>
            </w:pPr>
            <w:r/>
            <w:r>
              <w:rPr>
                <w:rFonts w:ascii="Aptos" w:hAnsi="Aptos"/>
                <w:b w:val="0"/>
                <w:sz w:val="14"/>
              </w:rPr>
              <w:t>4. Seguridad, colaboración y cierre</w:t>
            </w:r>
          </w:p>
        </w:tc>
        <w:tc>
          <w:tcPr>
            <w:tcW w:type="dxa" w:w="1584"/>
            <w:vAlign w:val="center"/>
          </w:tcPr>
          <w:p>
            <w:pPr>
              <w:spacing w:after="20"/>
            </w:pPr>
            <w:r/>
            <w:r>
              <w:rPr>
                <w:rFonts w:ascii="Aptos" w:hAnsi="Aptos"/>
                <w:b w:val="0"/>
                <w:sz w:val="14"/>
              </w:rPr>
              <w:t>Semana 14–16</w:t>
            </w:r>
          </w:p>
        </w:tc>
        <w:tc>
          <w:tcPr>
            <w:tcW w:type="dxa" w:w="4608"/>
            <w:vAlign w:val="center"/>
          </w:tcPr>
          <w:p>
            <w:pPr>
              <w:spacing w:after="20"/>
            </w:pPr>
            <w:r/>
            <w:r>
              <w:rPr>
                <w:rFonts w:ascii="Aptos" w:hAnsi="Aptos"/>
                <w:b w:val="0"/>
                <w:sz w:val="14"/>
              </w:rPr>
              <w:t>Auditoría, respaldos, notificaciones, chat priorizado, importación si cabe, pruebas, manual y despliegue.</w:t>
            </w:r>
          </w:p>
        </w:tc>
        <w:tc>
          <w:tcPr>
            <w:tcW w:type="dxa" w:w="2880"/>
            <w:vAlign w:val="center"/>
          </w:tcPr>
          <w:p>
            <w:pPr>
              <w:spacing w:after="20"/>
            </w:pPr>
            <w:r/>
            <w:r>
              <w:rPr>
                <w:rFonts w:ascii="Aptos" w:hAnsi="Aptos"/>
                <w:b w:val="0"/>
                <w:sz w:val="14"/>
              </w:rPr>
              <w:t>Pruebas de aceptación aprobadas y plan de soporte entregado.</w:t>
            </w:r>
          </w:p>
        </w:tc>
      </w:tr>
    </w:tbl>
    <w:p>
      <w:pPr>
        <w:spacing w:after="20"/>
      </w:pPr>
    </w:p>
    <w:p>
      <w:pPr>
        <w:pStyle w:val="Heading2"/>
      </w:pPr>
      <w:r>
        <w:t>11.1 Prioridad por nivel</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43A52"/>
          </w:tcPr>
          <w:p>
            <w:pPr>
              <w:spacing w:after="20"/>
            </w:pPr>
            <w:r/>
            <w:r>
              <w:rPr>
                <w:rFonts w:ascii="Aptos" w:hAnsi="Aptos"/>
                <w:b/>
                <w:color w:val="FFFFFF"/>
                <w:sz w:val="16"/>
              </w:rPr>
              <w:t>Prioridad</w:t>
            </w:r>
          </w:p>
        </w:tc>
        <w:tc>
          <w:tcPr>
            <w:tcW w:type="dxa" w:w="8352"/>
            <w:vAlign w:val="center"/>
            <w:shd w:fill="143A52"/>
          </w:tcPr>
          <w:p>
            <w:pPr>
              <w:spacing w:after="20"/>
            </w:pPr>
            <w:r/>
            <w:r>
              <w:rPr>
                <w:rFonts w:ascii="Aptos" w:hAnsi="Aptos"/>
                <w:b/>
                <w:color w:val="FFFFFF"/>
                <w:sz w:val="16"/>
              </w:rPr>
              <w:t>Contenido sugerido</w:t>
            </w:r>
          </w:p>
        </w:tc>
      </w:tr>
      <w:tr>
        <w:tc>
          <w:tcPr>
            <w:tcW w:type="dxa" w:w="2160"/>
            <w:vAlign w:val="center"/>
          </w:tcPr>
          <w:p>
            <w:pPr>
              <w:spacing w:after="20"/>
            </w:pPr>
            <w:r/>
            <w:r>
              <w:rPr>
                <w:rFonts w:ascii="Aptos" w:hAnsi="Aptos"/>
                <w:b w:val="0"/>
                <w:sz w:val="16"/>
              </w:rPr>
              <w:t>P0 — Imprescindible</w:t>
            </w:r>
          </w:p>
        </w:tc>
        <w:tc>
          <w:tcPr>
            <w:tcW w:type="dxa" w:w="8352"/>
            <w:vAlign w:val="center"/>
          </w:tcPr>
          <w:p>
            <w:pPr>
              <w:spacing w:after="20"/>
            </w:pPr>
            <w:r/>
            <w:r>
              <w:rPr>
                <w:rFonts w:ascii="Aptos" w:hAnsi="Aptos"/>
                <w:b w:val="0"/>
                <w:sz w:val="16"/>
              </w:rPr>
              <w:t>Acceso seguro, roles, catálogo, fichas técnicas, captura, cálculo correcto, evidencias, revisión/validación, auditoría básica, dashboard mínimo, exportación esencial y respaldo.</w:t>
            </w:r>
          </w:p>
        </w:tc>
      </w:tr>
      <w:tr>
        <w:tc>
          <w:tcPr>
            <w:tcW w:type="dxa" w:w="2160"/>
            <w:vAlign w:val="center"/>
            <w:shd w:fill="F1F5F7"/>
          </w:tcPr>
          <w:p>
            <w:pPr>
              <w:spacing w:after="20"/>
            </w:pPr>
            <w:r/>
            <w:r>
              <w:rPr>
                <w:rFonts w:ascii="Aptos" w:hAnsi="Aptos"/>
                <w:b w:val="0"/>
                <w:sz w:val="16"/>
              </w:rPr>
              <w:t>P1 — Importante</w:t>
            </w:r>
          </w:p>
        </w:tc>
        <w:tc>
          <w:tcPr>
            <w:tcW w:type="dxa" w:w="8352"/>
            <w:vAlign w:val="center"/>
            <w:shd w:fill="F1F5F7"/>
          </w:tcPr>
          <w:p>
            <w:pPr>
              <w:spacing w:after="20"/>
            </w:pPr>
            <w:r/>
            <w:r>
              <w:rPr>
                <w:rFonts w:ascii="Aptos" w:hAnsi="Aptos"/>
                <w:b w:val="0"/>
                <w:sz w:val="16"/>
              </w:rPr>
              <w:t>Comparaciones, filtros avanzados, seguimiento de observaciones, calendario, reportes configurables, centro de notificaciones y seguimiento de metas.</w:t>
            </w:r>
          </w:p>
        </w:tc>
      </w:tr>
      <w:tr>
        <w:tc>
          <w:tcPr>
            <w:tcW w:type="dxa" w:w="2160"/>
            <w:vAlign w:val="center"/>
          </w:tcPr>
          <w:p>
            <w:pPr>
              <w:spacing w:after="20"/>
            </w:pPr>
            <w:r/>
            <w:r>
              <w:rPr>
                <w:rFonts w:ascii="Aptos" w:hAnsi="Aptos"/>
                <w:b w:val="0"/>
                <w:sz w:val="16"/>
              </w:rPr>
              <w:t>P2 — Si la capacidad lo permite</w:t>
            </w:r>
          </w:p>
        </w:tc>
        <w:tc>
          <w:tcPr>
            <w:tcW w:type="dxa" w:w="8352"/>
            <w:vAlign w:val="center"/>
          </w:tcPr>
          <w:p>
            <w:pPr>
              <w:spacing w:after="20"/>
            </w:pPr>
            <w:r/>
            <w:r>
              <w:rPr>
                <w:rFonts w:ascii="Aptos" w:hAnsi="Aptos"/>
                <w:b w:val="0"/>
                <w:sz w:val="16"/>
              </w:rPr>
              <w:t>Chat en tiempo real, IA, escenarios, mapas avanzados, reportes programados, integración presupuestaria y analítica sofisticada.</w:t>
            </w:r>
          </w:p>
        </w:tc>
      </w:tr>
    </w:tbl>
    <w:p>
      <w:pPr>
        <w:spacing w:after="20"/>
      </w:pPr>
    </w:p>
    <w:p>
      <w:r>
        <w:t>La prioridad final debe acordarse con quien recibe el sistema. Si el chat interno, las gráficas avanzadas o los reportes automatizados son obligatorios para la entrega, deben pasar a P0/P1 y se deberá reducir o posponer otro alcance.</w:t>
      </w:r>
    </w:p>
    <w:p>
      <w:pPr>
        <w:pStyle w:val="Heading2"/>
      </w:pPr>
      <w:r>
        <w:t>11.2 Estrategia de prueba temprana</w:t>
      </w:r>
    </w:p>
    <w:p>
      <w:r>
        <w:t>Antes de cargar los 129 indicadores, probar al menos un indicador porcentual, uno de variación, uno acumulativo y uno cuyo sentido deseable sea descendente. La selección debe representar fórmulas y casos reales del catálogo.</w:t>
      </w:r>
    </w:p>
    <w:p>
      <w:pPr>
        <w:pStyle w:val="Heading1"/>
      </w:pPr>
      <w:r>
        <w:t>12. Riesgos y dependencias</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143A52"/>
          </w:tcPr>
          <w:p>
            <w:pPr>
              <w:spacing w:after="20"/>
            </w:pPr>
            <w:r/>
            <w:r>
              <w:rPr>
                <w:rFonts w:ascii="Aptos" w:hAnsi="Aptos"/>
                <w:b/>
                <w:color w:val="FFFFFF"/>
                <w:sz w:val="15"/>
              </w:rPr>
              <w:t>Riesgo / dependencia</w:t>
            </w:r>
          </w:p>
        </w:tc>
        <w:tc>
          <w:tcPr>
            <w:tcW w:type="dxa" w:w="3312"/>
            <w:vAlign w:val="center"/>
            <w:shd w:fill="143A52"/>
          </w:tcPr>
          <w:p>
            <w:pPr>
              <w:spacing w:after="20"/>
            </w:pPr>
            <w:r/>
            <w:r>
              <w:rPr>
                <w:rFonts w:ascii="Aptos" w:hAnsi="Aptos"/>
                <w:b/>
                <w:color w:val="FFFFFF"/>
                <w:sz w:val="15"/>
              </w:rPr>
              <w:t>Impacto posible</w:t>
            </w:r>
          </w:p>
        </w:tc>
        <w:tc>
          <w:tcPr>
            <w:tcW w:type="dxa" w:w="4896"/>
            <w:vAlign w:val="center"/>
            <w:shd w:fill="143A52"/>
          </w:tcPr>
          <w:p>
            <w:pPr>
              <w:spacing w:after="20"/>
            </w:pPr>
            <w:r/>
            <w:r>
              <w:rPr>
                <w:rFonts w:ascii="Aptos" w:hAnsi="Aptos"/>
                <w:b/>
                <w:color w:val="FFFFFF"/>
                <w:sz w:val="15"/>
              </w:rPr>
              <w:t>Mitigación propuesta</w:t>
            </w:r>
          </w:p>
        </w:tc>
      </w:tr>
      <w:tr>
        <w:tc>
          <w:tcPr>
            <w:tcW w:type="dxa" w:w="2592"/>
            <w:vAlign w:val="center"/>
          </w:tcPr>
          <w:p>
            <w:pPr>
              <w:spacing w:after="20"/>
            </w:pPr>
            <w:r/>
            <w:r>
              <w:rPr>
                <w:rFonts w:ascii="Aptos" w:hAnsi="Aptos"/>
                <w:b w:val="0"/>
                <w:sz w:val="15"/>
              </w:rPr>
              <w:t>Reglas de cálculo no confirmadas</w:t>
            </w:r>
          </w:p>
        </w:tc>
        <w:tc>
          <w:tcPr>
            <w:tcW w:type="dxa" w:w="3312"/>
            <w:vAlign w:val="center"/>
          </w:tcPr>
          <w:p>
            <w:pPr>
              <w:spacing w:after="20"/>
            </w:pPr>
            <w:r/>
            <w:r>
              <w:rPr>
                <w:rFonts w:ascii="Aptos" w:hAnsi="Aptos"/>
                <w:b w:val="0"/>
                <w:sz w:val="15"/>
              </w:rPr>
              <w:t>Resultados incorrectos o discusiones sobre la semaforización.</w:t>
            </w:r>
          </w:p>
        </w:tc>
        <w:tc>
          <w:tcPr>
            <w:tcW w:type="dxa" w:w="4896"/>
            <w:vAlign w:val="center"/>
          </w:tcPr>
          <w:p>
            <w:pPr>
              <w:spacing w:after="20"/>
            </w:pPr>
            <w:r/>
            <w:r>
              <w:rPr>
                <w:rFonts w:ascii="Aptos" w:hAnsi="Aptos"/>
                <w:b w:val="0"/>
                <w:sz w:val="15"/>
              </w:rPr>
              <w:t>Aprobar fórmulas, umbrales, ejemplos y casos límite antes de automatizarlos.</w:t>
            </w:r>
          </w:p>
        </w:tc>
      </w:tr>
      <w:tr>
        <w:tc>
          <w:tcPr>
            <w:tcW w:type="dxa" w:w="2592"/>
            <w:vAlign w:val="center"/>
            <w:shd w:fill="F1F5F7"/>
          </w:tcPr>
          <w:p>
            <w:pPr>
              <w:spacing w:after="20"/>
            </w:pPr>
            <w:r/>
            <w:r>
              <w:rPr>
                <w:rFonts w:ascii="Aptos" w:hAnsi="Aptos"/>
                <w:b w:val="0"/>
                <w:sz w:val="15"/>
              </w:rPr>
              <w:t>Catálogo oficial incompleto o tardío</w:t>
            </w:r>
          </w:p>
        </w:tc>
        <w:tc>
          <w:tcPr>
            <w:tcW w:type="dxa" w:w="3312"/>
            <w:vAlign w:val="center"/>
            <w:shd w:fill="F1F5F7"/>
          </w:tcPr>
          <w:p>
            <w:pPr>
              <w:spacing w:after="20"/>
            </w:pPr>
            <w:r/>
            <w:r>
              <w:rPr>
                <w:rFonts w:ascii="Aptos" w:hAnsi="Aptos"/>
                <w:b w:val="0"/>
                <w:sz w:val="15"/>
              </w:rPr>
              <w:t>Retraso en carga y configuración de los 129 indicadores.</w:t>
            </w:r>
          </w:p>
        </w:tc>
        <w:tc>
          <w:tcPr>
            <w:tcW w:type="dxa" w:w="4896"/>
            <w:vAlign w:val="center"/>
            <w:shd w:fill="F1F5F7"/>
          </w:tcPr>
          <w:p>
            <w:pPr>
              <w:spacing w:after="20"/>
            </w:pPr>
            <w:r/>
            <w:r>
              <w:rPr>
                <w:rFonts w:ascii="Aptos" w:hAnsi="Aptos"/>
                <w:b w:val="0"/>
                <w:sz w:val="15"/>
              </w:rPr>
              <w:t>Solicitar plantilla oficial desde el inicio; importar primero una muestra y validar.</w:t>
            </w:r>
          </w:p>
        </w:tc>
      </w:tr>
      <w:tr>
        <w:tc>
          <w:tcPr>
            <w:tcW w:type="dxa" w:w="2592"/>
            <w:vAlign w:val="center"/>
          </w:tcPr>
          <w:p>
            <w:pPr>
              <w:spacing w:after="20"/>
            </w:pPr>
            <w:r/>
            <w:r>
              <w:rPr>
                <w:rFonts w:ascii="Aptos" w:hAnsi="Aptos"/>
                <w:b w:val="0"/>
                <w:sz w:val="15"/>
              </w:rPr>
              <w:t>Plazo de cuatro meses ajustado</w:t>
            </w:r>
          </w:p>
        </w:tc>
        <w:tc>
          <w:tcPr>
            <w:tcW w:type="dxa" w:w="3312"/>
            <w:vAlign w:val="center"/>
          </w:tcPr>
          <w:p>
            <w:pPr>
              <w:spacing w:after="20"/>
            </w:pPr>
            <w:r/>
            <w:r>
              <w:rPr>
                <w:rFonts w:ascii="Aptos" w:hAnsi="Aptos"/>
                <w:b w:val="0"/>
                <w:sz w:val="15"/>
              </w:rPr>
              <w:t>Acumulación de funciones y baja calidad de pruebas.</w:t>
            </w:r>
          </w:p>
        </w:tc>
        <w:tc>
          <w:tcPr>
            <w:tcW w:type="dxa" w:w="4896"/>
            <w:vAlign w:val="center"/>
          </w:tcPr>
          <w:p>
            <w:pPr>
              <w:spacing w:after="20"/>
            </w:pPr>
            <w:r/>
            <w:r>
              <w:rPr>
                <w:rFonts w:ascii="Aptos" w:hAnsi="Aptos"/>
                <w:b w:val="0"/>
                <w:sz w:val="15"/>
              </w:rPr>
              <w:t>Definir P0/P1/P2, iterar semanalmente y limitar funciones opcionales.</w:t>
            </w:r>
          </w:p>
        </w:tc>
      </w:tr>
      <w:tr>
        <w:tc>
          <w:tcPr>
            <w:tcW w:type="dxa" w:w="2592"/>
            <w:vAlign w:val="center"/>
            <w:shd w:fill="F1F5F7"/>
          </w:tcPr>
          <w:p>
            <w:pPr>
              <w:spacing w:after="20"/>
            </w:pPr>
            <w:r/>
            <w:r>
              <w:rPr>
                <w:rFonts w:ascii="Aptos" w:hAnsi="Aptos"/>
                <w:b w:val="0"/>
                <w:sz w:val="15"/>
              </w:rPr>
              <w:t>Ambigüedad en roles</w:t>
            </w:r>
          </w:p>
        </w:tc>
        <w:tc>
          <w:tcPr>
            <w:tcW w:type="dxa" w:w="3312"/>
            <w:vAlign w:val="center"/>
            <w:shd w:fill="F1F5F7"/>
          </w:tcPr>
          <w:p>
            <w:pPr>
              <w:spacing w:after="20"/>
            </w:pPr>
            <w:r/>
            <w:r>
              <w:rPr>
                <w:rFonts w:ascii="Aptos" w:hAnsi="Aptos"/>
                <w:b w:val="0"/>
                <w:sz w:val="15"/>
              </w:rPr>
              <w:t>Acceso indebido o cuello de botella de aprobación.</w:t>
            </w:r>
          </w:p>
        </w:tc>
        <w:tc>
          <w:tcPr>
            <w:tcW w:type="dxa" w:w="4896"/>
            <w:vAlign w:val="center"/>
            <w:shd w:fill="F1F5F7"/>
          </w:tcPr>
          <w:p>
            <w:pPr>
              <w:spacing w:after="20"/>
            </w:pPr>
            <w:r/>
            <w:r>
              <w:rPr>
                <w:rFonts w:ascii="Aptos" w:hAnsi="Aptos"/>
                <w:b w:val="0"/>
                <w:sz w:val="15"/>
              </w:rPr>
              <w:t>Mapear quién captura, revisa, valida y autoriza excepciones.</w:t>
            </w:r>
          </w:p>
        </w:tc>
      </w:tr>
      <w:tr>
        <w:tc>
          <w:tcPr>
            <w:tcW w:type="dxa" w:w="2592"/>
            <w:vAlign w:val="center"/>
          </w:tcPr>
          <w:p>
            <w:pPr>
              <w:spacing w:after="20"/>
            </w:pPr>
            <w:r/>
            <w:r>
              <w:rPr>
                <w:rFonts w:ascii="Aptos" w:hAnsi="Aptos"/>
                <w:b w:val="0"/>
                <w:sz w:val="15"/>
              </w:rPr>
              <w:t>Datos de baja calidad</w:t>
            </w:r>
          </w:p>
        </w:tc>
        <w:tc>
          <w:tcPr>
            <w:tcW w:type="dxa" w:w="3312"/>
            <w:vAlign w:val="center"/>
          </w:tcPr>
          <w:p>
            <w:pPr>
              <w:spacing w:after="20"/>
            </w:pPr>
            <w:r/>
            <w:r>
              <w:rPr>
                <w:rFonts w:ascii="Aptos" w:hAnsi="Aptos"/>
                <w:b w:val="0"/>
                <w:sz w:val="15"/>
              </w:rPr>
              <w:t>Dashboard engañoso y reportes poco confiables.</w:t>
            </w:r>
          </w:p>
        </w:tc>
        <w:tc>
          <w:tcPr>
            <w:tcW w:type="dxa" w:w="4896"/>
            <w:vAlign w:val="center"/>
          </w:tcPr>
          <w:p>
            <w:pPr>
              <w:spacing w:after="20"/>
            </w:pPr>
            <w:r/>
            <w:r>
              <w:rPr>
                <w:rFonts w:ascii="Aptos" w:hAnsi="Aptos"/>
                <w:b w:val="0"/>
                <w:sz w:val="15"/>
              </w:rPr>
              <w:t>Validaciones, trazabilidad de fuentes y estados visibles de calidad.</w:t>
            </w:r>
          </w:p>
        </w:tc>
      </w:tr>
      <w:tr>
        <w:tc>
          <w:tcPr>
            <w:tcW w:type="dxa" w:w="2592"/>
            <w:vAlign w:val="center"/>
            <w:shd w:fill="F1F5F7"/>
          </w:tcPr>
          <w:p>
            <w:pPr>
              <w:spacing w:after="20"/>
            </w:pPr>
            <w:r/>
            <w:r>
              <w:rPr>
                <w:rFonts w:ascii="Aptos" w:hAnsi="Aptos"/>
                <w:b w:val="0"/>
                <w:sz w:val="15"/>
              </w:rPr>
              <w:t>Infraestructura o alojamiento desconocido</w:t>
            </w:r>
          </w:p>
        </w:tc>
        <w:tc>
          <w:tcPr>
            <w:tcW w:type="dxa" w:w="3312"/>
            <w:vAlign w:val="center"/>
            <w:shd w:fill="F1F5F7"/>
          </w:tcPr>
          <w:p>
            <w:pPr>
              <w:spacing w:after="20"/>
            </w:pPr>
            <w:r/>
            <w:r>
              <w:rPr>
                <w:rFonts w:ascii="Aptos" w:hAnsi="Aptos"/>
                <w:b w:val="0"/>
                <w:sz w:val="15"/>
              </w:rPr>
              <w:t>Problemas de despliegue, acceso interno o compatibilidad.</w:t>
            </w:r>
          </w:p>
        </w:tc>
        <w:tc>
          <w:tcPr>
            <w:tcW w:type="dxa" w:w="4896"/>
            <w:vAlign w:val="center"/>
            <w:shd w:fill="F1F5F7"/>
          </w:tcPr>
          <w:p>
            <w:pPr>
              <w:spacing w:after="20"/>
            </w:pPr>
            <w:r/>
            <w:r>
              <w:rPr>
                <w:rFonts w:ascii="Aptos" w:hAnsi="Aptos"/>
                <w:b w:val="0"/>
                <w:sz w:val="15"/>
              </w:rPr>
              <w:t>Confirmar desde la etapa inicial servidor, base de datos, red, respaldos y responsables técnicos.</w:t>
            </w:r>
          </w:p>
        </w:tc>
      </w:tr>
      <w:tr>
        <w:tc>
          <w:tcPr>
            <w:tcW w:type="dxa" w:w="2592"/>
            <w:vAlign w:val="center"/>
          </w:tcPr>
          <w:p>
            <w:pPr>
              <w:spacing w:after="20"/>
            </w:pPr>
            <w:r/>
            <w:r>
              <w:rPr>
                <w:rFonts w:ascii="Aptos" w:hAnsi="Aptos"/>
                <w:b w:val="0"/>
                <w:sz w:val="15"/>
              </w:rPr>
              <w:t>Archivos o información sensible</w:t>
            </w:r>
          </w:p>
        </w:tc>
        <w:tc>
          <w:tcPr>
            <w:tcW w:type="dxa" w:w="3312"/>
            <w:vAlign w:val="center"/>
          </w:tcPr>
          <w:p>
            <w:pPr>
              <w:spacing w:after="20"/>
            </w:pPr>
            <w:r/>
            <w:r>
              <w:rPr>
                <w:rFonts w:ascii="Aptos" w:hAnsi="Aptos"/>
                <w:b w:val="0"/>
                <w:sz w:val="15"/>
              </w:rPr>
              <w:t>Exposición de datos o pérdida de evidencias.</w:t>
            </w:r>
          </w:p>
        </w:tc>
        <w:tc>
          <w:tcPr>
            <w:tcW w:type="dxa" w:w="4896"/>
            <w:vAlign w:val="center"/>
          </w:tcPr>
          <w:p>
            <w:pPr>
              <w:spacing w:after="20"/>
            </w:pPr>
            <w:r/>
            <w:r>
              <w:rPr>
                <w:rFonts w:ascii="Aptos" w:hAnsi="Aptos"/>
                <w:b w:val="0"/>
                <w:sz w:val="15"/>
              </w:rPr>
              <w:t>Almacenamiento privado, permisos, controles de archivo y política de respaldo.</w:t>
            </w:r>
          </w:p>
        </w:tc>
      </w:tr>
      <w:tr>
        <w:tc>
          <w:tcPr>
            <w:tcW w:type="dxa" w:w="2592"/>
            <w:vAlign w:val="center"/>
            <w:shd w:fill="F1F5F7"/>
          </w:tcPr>
          <w:p>
            <w:pPr>
              <w:spacing w:after="20"/>
            </w:pPr>
            <w:r/>
            <w:r>
              <w:rPr>
                <w:rFonts w:ascii="Aptos" w:hAnsi="Aptos"/>
                <w:b w:val="0"/>
                <w:sz w:val="15"/>
              </w:rPr>
              <w:t>Chat en tiempo real y funciones avanzadas</w:t>
            </w:r>
          </w:p>
        </w:tc>
        <w:tc>
          <w:tcPr>
            <w:tcW w:type="dxa" w:w="3312"/>
            <w:vAlign w:val="center"/>
            <w:shd w:fill="F1F5F7"/>
          </w:tcPr>
          <w:p>
            <w:pPr>
              <w:spacing w:after="20"/>
            </w:pPr>
            <w:r/>
            <w:r>
              <w:rPr>
                <w:rFonts w:ascii="Aptos" w:hAnsi="Aptos"/>
                <w:b w:val="0"/>
                <w:sz w:val="15"/>
              </w:rPr>
              <w:t>Complejidad extra de arquitectura y pruebas.</w:t>
            </w:r>
          </w:p>
        </w:tc>
        <w:tc>
          <w:tcPr>
            <w:tcW w:type="dxa" w:w="4896"/>
            <w:vAlign w:val="center"/>
            <w:shd w:fill="F1F5F7"/>
          </w:tcPr>
          <w:p>
            <w:pPr>
              <w:spacing w:after="20"/>
            </w:pPr>
            <w:r/>
            <w:r>
              <w:rPr>
                <w:rFonts w:ascii="Aptos" w:hAnsi="Aptos"/>
                <w:b w:val="0"/>
                <w:sz w:val="15"/>
              </w:rPr>
              <w:t>Definir el mínimo aceptable y considerar entrega escalonada.</w:t>
            </w:r>
          </w:p>
        </w:tc>
      </w:tr>
    </w:tbl>
    <w:p>
      <w:pPr>
        <w:spacing w:after="20"/>
      </w:pPr>
    </w:p>
    <w:p>
      <w:pPr>
        <w:pStyle w:val="Heading1"/>
      </w:pPr>
      <w:r>
        <w:t>13. Decisiones que deben validarse</w:t>
      </w:r>
    </w:p>
    <w:p>
      <w:pPr>
        <w:spacing w:after="80"/>
      </w:pPr>
      <w:r>
        <w:rPr>
          <w:b/>
        </w:rPr>
        <w:t xml:space="preserve">Metodología oficial de indicadores: </w:t>
      </w:r>
      <w:r>
        <w:t>Entregar catálogo oficial con definición, fórmula, variables, unidad, sentido, fuente, línea base, meta, periodicidad y regla de semáforo por indicador.</w:t>
      </w:r>
    </w:p>
    <w:p>
      <w:pPr>
        <w:spacing w:after="80"/>
      </w:pPr>
      <w:r>
        <w:rPr>
          <w:b/>
        </w:rPr>
        <w:t xml:space="preserve">Índice agregado por agrupación: </w:t>
      </w:r>
      <w:r>
        <w:t>Confirmar si se usará la fórmula ilustrativa del dashboard, otra fórmula o si no habrá índice agregado; definir cómo se excluyen indicadores sin datos.</w:t>
      </w:r>
    </w:p>
    <w:p>
      <w:pPr>
        <w:spacing w:after="80"/>
      </w:pPr>
      <w:r>
        <w:rPr>
          <w:b/>
        </w:rPr>
        <w:t xml:space="preserve">Flujo de aprobación: </w:t>
      </w:r>
      <w:r>
        <w:t>Definir quién captura, revisa, observa, valida, cierra y autoriza reaperturas; decidir si una persona puede revisar su propia captura.</w:t>
      </w:r>
    </w:p>
    <w:p>
      <w:pPr>
        <w:spacing w:after="80"/>
      </w:pPr>
      <w:r>
        <w:rPr>
          <w:b/>
        </w:rPr>
        <w:t xml:space="preserve">Plazo y capacidad del equipo: </w:t>
      </w:r>
      <w:r>
        <w:t>Confirmar fechas, número de desarrolladores, dedicación semanal y quién atenderá pruebas y validación funcional.</w:t>
      </w:r>
    </w:p>
    <w:p>
      <w:pPr>
        <w:spacing w:after="80"/>
      </w:pPr>
      <w:r>
        <w:rPr>
          <w:b/>
        </w:rPr>
        <w:t xml:space="preserve">Infraestructura y acceso: </w:t>
      </w:r>
      <w:r>
        <w:t>Confirmar servidor, base de datos permitida, alojamiento, acceso por red interna/VPN, dominio, respaldos y responsables de operación.</w:t>
      </w:r>
    </w:p>
    <w:p>
      <w:pPr>
        <w:spacing w:after="80"/>
      </w:pPr>
      <w:r>
        <w:rPr>
          <w:b/>
        </w:rPr>
        <w:t xml:space="preserve">Chat y notificaciones: </w:t>
      </w:r>
      <w:r>
        <w:t>Aclarar si se necesita tiempo real desde la primera entrega o si basta un centro de mensajes y notificaciones inicial.</w:t>
      </w:r>
    </w:p>
    <w:p>
      <w:pPr>
        <w:spacing w:after="80"/>
      </w:pPr>
      <w:r>
        <w:rPr>
          <w:b/>
        </w:rPr>
        <w:t xml:space="preserve">PDF/Excel: </w:t>
      </w:r>
      <w:r>
        <w:t>Definir formatos institucionales, logotipos, campos obligatorios, filtros, firma o autorización, y si las exportaciones requieren marca de agua.</w:t>
      </w:r>
    </w:p>
    <w:p>
      <w:pPr>
        <w:spacing w:after="80"/>
      </w:pPr>
      <w:r>
        <w:rPr>
          <w:b/>
        </w:rPr>
        <w:t xml:space="preserve">Importación inicial: </w:t>
      </w:r>
      <w:r>
        <w:t>Confirmar fuente y formato del catálogo de 129 indicadores y si existen históricos que deban migrarse.</w:t>
      </w:r>
    </w:p>
    <w:p>
      <w:pPr>
        <w:spacing w:after="80"/>
      </w:pPr>
      <w:r>
        <w:rPr>
          <w:b/>
        </w:rPr>
        <w:t xml:space="preserve">Territorialidad: </w:t>
      </w:r>
      <w:r>
        <w:t>Confirmar uso de municipio, localidad, colonia/fraccionamiento y UGAT, así como claves y reglas de agregación.</w:t>
      </w:r>
    </w:p>
    <w:p>
      <w:pPr>
        <w:spacing w:after="80"/>
      </w:pPr>
      <w:r>
        <w:rPr>
          <w:b/>
        </w:rPr>
        <w:t xml:space="preserve">Seguridad y privacidad: </w:t>
      </w:r>
      <w:r>
        <w:t>Definir clasificación de datos, políticas institucionales, retención, cuentas autorizadas y restricciones sobre servicios externos.</w:t>
      </w:r>
    </w:p>
    <w:p>
      <w:pPr>
        <w:spacing w:after="80"/>
      </w:pPr>
      <w:r>
        <w:rPr>
          <w:b/>
        </w:rPr>
        <w:t xml:space="preserve">IA y funciones opcionales: </w:t>
      </w:r>
      <w:r>
        <w:t>Confirmar si se permiten herramientas de IA y qué información puede procesarse; por defecto, mantener esta función fuera del núcleo obligatorio.</w:t>
      </w:r>
    </w:p>
    <w:p>
      <w:pPr>
        <w:pStyle w:val="Heading1"/>
      </w:pPr>
      <w:r>
        <w:t>14. Criterios de aceptación</w:t>
      </w:r>
    </w:p>
    <w:p>
      <w:r>
        <w:t>Como base para validar entregables, se proponen los siguientes criterios. Deben convertirse en pruebas concretas con datos y resultados esperados proporcionados o aprobados por la institución.</w:t>
      </w:r>
    </w:p>
    <w:p>
      <w:pPr>
        <w:pStyle w:val="ListBullet"/>
        <w:spacing w:after="40"/>
      </w:pPr>
      <w:r>
        <w:t>Una persona no autorizada no puede acceder a módulos o datos protegidos, incluso si intenta llamar directamente a la API.</w:t>
      </w:r>
    </w:p>
    <w:p>
      <w:pPr>
        <w:pStyle w:val="ListBullet"/>
        <w:spacing w:after="40"/>
      </w:pPr>
      <w:r>
        <w:t>Los roles permiten exactamente las acciones aprobadas para cada perfil.</w:t>
      </w:r>
    </w:p>
    <w:p>
      <w:pPr>
        <w:pStyle w:val="ListBullet"/>
        <w:spacing w:after="40"/>
      </w:pPr>
      <w:r>
        <w:t>El catálogo puede registrar los 129 indicadores y filtrar/buscar sin pérdida de información.</w:t>
      </w:r>
    </w:p>
    <w:p>
      <w:pPr>
        <w:pStyle w:val="ListBullet"/>
        <w:spacing w:after="40"/>
      </w:pPr>
      <w:r>
        <w:t>Cada ficha técnica conserva los campos oficiales definidos por la institución.</w:t>
      </w:r>
    </w:p>
    <w:p>
      <w:pPr>
        <w:pStyle w:val="ListBullet"/>
        <w:spacing w:after="40"/>
      </w:pPr>
      <w:r>
        <w:t>Las fórmulas de los indicadores de prueba coinciden con cálculos manuales validados.</w:t>
      </w:r>
    </w:p>
    <w:p>
      <w:pPr>
        <w:pStyle w:val="ListBullet"/>
        <w:spacing w:after="40"/>
      </w:pPr>
      <w:r>
        <w:t>Las reglas de semáforo contemplan sentido ascendente/descendente y estados sin datos o no evaluables.</w:t>
      </w:r>
    </w:p>
    <w:p>
      <w:pPr>
        <w:pStyle w:val="ListBullet"/>
        <w:spacing w:after="40"/>
      </w:pPr>
      <w:r>
        <w:t>Una captura puede recorrer el flujo acordado, adjuntar evidencia, recibir observaciones, corregirse y validarse.</w:t>
      </w:r>
    </w:p>
    <w:p>
      <w:pPr>
        <w:pStyle w:val="ListBullet"/>
        <w:spacing w:after="40"/>
      </w:pPr>
      <w:r>
        <w:t>Cada cambio crítico deja una entrada de auditoría identificable.</w:t>
      </w:r>
    </w:p>
    <w:p>
      <w:pPr>
        <w:pStyle w:val="ListBullet"/>
        <w:spacing w:after="40"/>
      </w:pPr>
      <w:r>
        <w:t>El dashboard distingue desempeño, entrega y calidad/validación de datos.</w:t>
      </w:r>
    </w:p>
    <w:p>
      <w:pPr>
        <w:pStyle w:val="ListBullet"/>
        <w:spacing w:after="40"/>
      </w:pPr>
      <w:r>
        <w:t>Los reportes y exportaciones identifican periodo, fecha, filtros y estado de validación.</w:t>
      </w:r>
    </w:p>
    <w:p>
      <w:pPr>
        <w:pStyle w:val="ListBullet"/>
        <w:spacing w:after="40"/>
      </w:pPr>
      <w:r>
        <w:t>Los respaldos se pueden restaurar siguiendo un procedimiento documentado.</w:t>
      </w:r>
    </w:p>
    <w:p>
      <w:pPr>
        <w:pStyle w:val="ListBullet"/>
        <w:spacing w:after="40"/>
      </w:pPr>
      <w:r>
        <w:t>El sistema cuenta con instrucciones de instalación, configuración, uso y mantenimiento.</w:t>
      </w:r>
    </w:p>
    <w:p>
      <w:pPr>
        <w:pStyle w:val="Heading1"/>
      </w:pPr>
      <w:r>
        <w:t>15. Estrategia de pruebas y despliegue</w:t>
      </w:r>
    </w:p>
    <w:p>
      <w:pPr>
        <w:pStyle w:val="Heading2"/>
      </w:pPr>
      <w:r>
        <w:t>15.1 Pruebas recomendadas</w:t>
      </w:r>
    </w:p>
    <w:p>
      <w:pPr>
        <w:pStyle w:val="ListBullet"/>
        <w:spacing w:after="40"/>
      </w:pPr>
      <w:r>
        <w:t>Pruebas unitarias de fórmulas, umbrales, permisos y validaciones.</w:t>
      </w:r>
    </w:p>
    <w:p>
      <w:pPr>
        <w:pStyle w:val="ListBullet"/>
        <w:spacing w:after="40"/>
      </w:pPr>
      <w:r>
        <w:t>Pruebas de integración entre captura, revisión, cálculo, evidencia y reportes.</w:t>
      </w:r>
    </w:p>
    <w:p>
      <w:pPr>
        <w:pStyle w:val="ListBullet"/>
        <w:spacing w:after="40"/>
      </w:pPr>
      <w:r>
        <w:t>Pruebas de permisos con cada perfil y acceso directo a endpoints.</w:t>
      </w:r>
    </w:p>
    <w:p>
      <w:pPr>
        <w:pStyle w:val="ListBullet"/>
        <w:spacing w:after="40"/>
      </w:pPr>
      <w:r>
        <w:t>Pruebas con datos faltantes, ceros, valores atípicos, periodos duplicados y cambios de metodología.</w:t>
      </w:r>
    </w:p>
    <w:p>
      <w:pPr>
        <w:pStyle w:val="ListBullet"/>
        <w:spacing w:after="40"/>
      </w:pPr>
      <w:r>
        <w:t>Pruebas de exportación PDF/Excel y revisión visual de tablas y gráficas.</w:t>
      </w:r>
    </w:p>
    <w:p>
      <w:pPr>
        <w:pStyle w:val="ListBullet"/>
        <w:spacing w:after="40"/>
      </w:pPr>
      <w:r>
        <w:t>Pruebas de carga razonables para el volumen esperado y el número de usuarios concurrentes.</w:t>
      </w:r>
    </w:p>
    <w:p>
      <w:pPr>
        <w:pStyle w:val="ListBullet"/>
        <w:spacing w:after="40"/>
      </w:pPr>
      <w:r>
        <w:t>Prueba documentada de respaldo y restauración.</w:t>
      </w:r>
    </w:p>
    <w:p>
      <w:pPr>
        <w:pStyle w:val="Heading2"/>
      </w:pPr>
      <w:r>
        <w:t>15.2 Entregables técnicos</w:t>
      </w:r>
    </w:p>
    <w:p>
      <w:pPr>
        <w:pStyle w:val="ListBullet"/>
        <w:spacing w:after="40"/>
      </w:pPr>
      <w:r>
        <w:t>Repositorio con ramas y etiquetas de versiones.</w:t>
      </w:r>
    </w:p>
    <w:p>
      <w:pPr>
        <w:pStyle w:val="ListBullet"/>
        <w:spacing w:after="40"/>
      </w:pPr>
      <w:r>
        <w:t>Archivo README con instalación local, variables de entorno, ejecución, pruebas, despliegue y solución de problemas frecuentes.</w:t>
      </w:r>
    </w:p>
    <w:p>
      <w:pPr>
        <w:pStyle w:val="ListBullet"/>
        <w:spacing w:after="40"/>
      </w:pPr>
      <w:r>
        <w:t>Migraciones y datos de prueba no sensibles.</w:t>
      </w:r>
    </w:p>
    <w:p>
      <w:pPr>
        <w:pStyle w:val="ListBullet"/>
        <w:spacing w:after="40"/>
      </w:pPr>
      <w:r>
        <w:t>Documentación de arquitectura, modelo de datos y endpoints principales.</w:t>
      </w:r>
    </w:p>
    <w:p>
      <w:pPr>
        <w:pStyle w:val="ListBullet"/>
        <w:spacing w:after="40"/>
      </w:pPr>
      <w:r>
        <w:t>Manual de usuario por perfil.</w:t>
      </w:r>
    </w:p>
    <w:p>
      <w:pPr>
        <w:pStyle w:val="ListBullet"/>
        <w:spacing w:after="40"/>
      </w:pPr>
      <w:r>
        <w:t>Registro de decisiones, incidencias conocidas y tareas pendientes.</w:t>
      </w:r>
    </w:p>
    <w:p>
      <w:pPr>
        <w:pStyle w:val="ListBullet"/>
        <w:spacing w:after="40"/>
      </w:pPr>
      <w:r>
        <w:t>Procedimiento de despliegue, respaldo, recuperación y actualización.</w:t>
      </w:r>
    </w:p>
    <w:p>
      <w:pPr>
        <w:pStyle w:val="Heading1"/>
      </w:pPr>
      <w:r>
        <w:t>16. Guía de continuidad entre cuentas de ChatGPT</w:t>
      </w:r>
    </w:p>
    <w:p>
      <w:r>
        <w:t>Este documento está pensado para servir como contexto inicial en otra cuenta de ChatGPT. La suscripción Plus no transfiere automáticamente el historial ni la memoria de una cuenta a otra.</w:t>
      </w:r>
    </w:p>
    <w:p>
      <w:pPr>
        <w:pStyle w:val="Heading2"/>
      </w:pPr>
      <w:r>
        <w:t>16.1 Instrucción inicial sugerida</w:t>
      </w:r>
    </w:p>
    <w:p>
      <w:pPr>
        <w:spacing w:before="80" w:after="160"/>
        <w:ind w:left="360" w:right="360"/>
      </w:pPr>
      <w:r>
        <w:rPr>
          <w:i/>
          <w:sz w:val="18"/>
        </w:rPr>
        <w:t>Estoy desarrollando el Sistema Integrado de Indicadores de Planeación (SIIP Salamanca), una aplicación web interna para gestionar aproximadamente 129 indicadores municipales. Usa el documento maestro adjunto como fuente principal del alcance. No inventes reglas oficiales: distingue requisitos confirmados, propuestas y decisiones pendientes. La arquitectura candidata es Laravel/PHP para backend, React con TypeScript para frontend y PostgreSQL para base de datos, pendiente de validación con la infraestructura institucional. El plazo de referencia es de cuatro meses. Prioriza una entrega funcional, segura, trazable y probada; separa P0, P1 y P2; explica dependencias antes de generar código. Los archivos HTML de referencia contienen datos simulados y no deben tratarse como datos oficiales. Antes de programar fórmulas o semaforización, solicita confirmación de las reglas aprobadas. Mantén documentación de cambios, decisiones, archivos modificados, pruebas y siguientes pasos. No incluyas credenciales ni información institucional sensible en el código o en el repositorio.</w:t>
      </w:r>
    </w:p>
    <w:p>
      <w:pPr>
        <w:pStyle w:val="Heading2"/>
      </w:pPr>
      <w:r>
        <w:t>16.2 Buenas prácticas de continuidad</w:t>
      </w:r>
    </w:p>
    <w:p>
      <w:pPr>
        <w:pStyle w:val="ListBullet"/>
        <w:spacing w:after="40"/>
      </w:pPr>
      <w:r>
        <w:t>Subir el documento maestro al espacio de trabajo de la cuenta Plus y mantenerlo actualizado en el repositorio privado si está autorizado.</w:t>
      </w:r>
    </w:p>
    <w:p>
      <w:pPr>
        <w:pStyle w:val="ListBullet"/>
        <w:spacing w:after="40"/>
      </w:pPr>
      <w:r>
        <w:t>Al final de cada sesión, generar un resumen de estado con decisiones tomadas, cambios realizados, pruebas y próximos pasos.</w:t>
      </w:r>
    </w:p>
    <w:p>
      <w:pPr>
        <w:pStyle w:val="ListBullet"/>
        <w:spacing w:after="40"/>
      </w:pPr>
      <w:r>
        <w:t>No depender exclusivamente de la memoria de ChatGPT: mantener el contexto duradero en README, documentos de arquitectura y registro de decisiones.</w:t>
      </w:r>
    </w:p>
    <w:p>
      <w:pPr>
        <w:pStyle w:val="ListBullet"/>
        <w:spacing w:after="40"/>
      </w:pPr>
      <w:r>
        <w:t>Revisar y aprobar el código antes de integrarlo; ejecutar las pruebas localmente.</w:t>
      </w:r>
    </w:p>
    <w:p>
      <w:pPr>
        <w:pStyle w:val="ListBullet"/>
        <w:spacing w:after="40"/>
      </w:pPr>
      <w:r>
        <w:t>No compartir secretos de producción, contraseñas, tokens ni datos personales reales con el asistente.</w:t>
      </w:r>
    </w:p>
    <w:p>
      <w:pPr>
        <w:pStyle w:val="Heading1"/>
      </w:pPr>
      <w:r>
        <w:t>17. Glosario</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43A52"/>
          </w:tcPr>
          <w:p>
            <w:pPr>
              <w:spacing w:after="20"/>
            </w:pPr>
            <w:r/>
            <w:r>
              <w:rPr>
                <w:rFonts w:ascii="Aptos" w:hAnsi="Aptos"/>
                <w:b/>
                <w:color w:val="FFFFFF"/>
                <w:sz w:val="16"/>
              </w:rPr>
              <w:t>Término</w:t>
            </w:r>
          </w:p>
        </w:tc>
        <w:tc>
          <w:tcPr>
            <w:tcW w:type="dxa" w:w="8352"/>
            <w:vAlign w:val="center"/>
            <w:shd w:fill="143A52"/>
          </w:tcPr>
          <w:p>
            <w:pPr>
              <w:spacing w:after="20"/>
            </w:pPr>
            <w:r/>
            <w:r>
              <w:rPr>
                <w:rFonts w:ascii="Aptos" w:hAnsi="Aptos"/>
                <w:b/>
                <w:color w:val="FFFFFF"/>
                <w:sz w:val="16"/>
              </w:rPr>
              <w:t>Definición de trabajo</w:t>
            </w:r>
          </w:p>
        </w:tc>
      </w:tr>
      <w:tr>
        <w:tc>
          <w:tcPr>
            <w:tcW w:type="dxa" w:w="2160"/>
            <w:vAlign w:val="center"/>
          </w:tcPr>
          <w:p>
            <w:pPr>
              <w:spacing w:after="20"/>
            </w:pPr>
            <w:r/>
            <w:r>
              <w:rPr>
                <w:rFonts w:ascii="Aptos" w:hAnsi="Aptos"/>
                <w:b w:val="0"/>
                <w:sz w:val="16"/>
              </w:rPr>
              <w:t>Indicador</w:t>
            </w:r>
          </w:p>
        </w:tc>
        <w:tc>
          <w:tcPr>
            <w:tcW w:type="dxa" w:w="8352"/>
            <w:vAlign w:val="center"/>
          </w:tcPr>
          <w:p>
            <w:pPr>
              <w:spacing w:after="20"/>
            </w:pPr>
            <w:r/>
            <w:r>
              <w:rPr>
                <w:rFonts w:ascii="Aptos" w:hAnsi="Aptos"/>
                <w:b w:val="0"/>
                <w:sz w:val="16"/>
              </w:rPr>
              <w:t>Medida definida para describir o evaluar una condición, resultado o avance.</w:t>
            </w:r>
          </w:p>
        </w:tc>
      </w:tr>
      <w:tr>
        <w:tc>
          <w:tcPr>
            <w:tcW w:type="dxa" w:w="2160"/>
            <w:vAlign w:val="center"/>
            <w:shd w:fill="F1F5F7"/>
          </w:tcPr>
          <w:p>
            <w:pPr>
              <w:spacing w:after="20"/>
            </w:pPr>
            <w:r/>
            <w:r>
              <w:rPr>
                <w:rFonts w:ascii="Aptos" w:hAnsi="Aptos"/>
                <w:b w:val="0"/>
                <w:sz w:val="16"/>
              </w:rPr>
              <w:t>Ficha técnica</w:t>
            </w:r>
          </w:p>
        </w:tc>
        <w:tc>
          <w:tcPr>
            <w:tcW w:type="dxa" w:w="8352"/>
            <w:vAlign w:val="center"/>
            <w:shd w:fill="F1F5F7"/>
          </w:tcPr>
          <w:p>
            <w:pPr>
              <w:spacing w:after="20"/>
            </w:pPr>
            <w:r/>
            <w:r>
              <w:rPr>
                <w:rFonts w:ascii="Aptos" w:hAnsi="Aptos"/>
                <w:b w:val="0"/>
                <w:sz w:val="16"/>
              </w:rPr>
              <w:t>Registro de definición, fórmula, variables, unidad, fuente, frecuencia, línea base, meta y criterios de interpretación.</w:t>
            </w:r>
          </w:p>
        </w:tc>
      </w:tr>
      <w:tr>
        <w:tc>
          <w:tcPr>
            <w:tcW w:type="dxa" w:w="2160"/>
            <w:vAlign w:val="center"/>
          </w:tcPr>
          <w:p>
            <w:pPr>
              <w:spacing w:after="20"/>
            </w:pPr>
            <w:r/>
            <w:r>
              <w:rPr>
                <w:rFonts w:ascii="Aptos" w:hAnsi="Aptos"/>
                <w:b w:val="0"/>
                <w:sz w:val="16"/>
              </w:rPr>
              <w:t>Línea base</w:t>
            </w:r>
          </w:p>
        </w:tc>
        <w:tc>
          <w:tcPr>
            <w:tcW w:type="dxa" w:w="8352"/>
            <w:vAlign w:val="center"/>
          </w:tcPr>
          <w:p>
            <w:pPr>
              <w:spacing w:after="20"/>
            </w:pPr>
            <w:r/>
            <w:r>
              <w:rPr>
                <w:rFonts w:ascii="Aptos" w:hAnsi="Aptos"/>
                <w:b w:val="0"/>
                <w:sz w:val="16"/>
              </w:rPr>
              <w:t>Valor de referencia inicial o de un periodo de referencia definido.</w:t>
            </w:r>
          </w:p>
        </w:tc>
      </w:tr>
      <w:tr>
        <w:tc>
          <w:tcPr>
            <w:tcW w:type="dxa" w:w="2160"/>
            <w:vAlign w:val="center"/>
            <w:shd w:fill="F1F5F7"/>
          </w:tcPr>
          <w:p>
            <w:pPr>
              <w:spacing w:after="20"/>
            </w:pPr>
            <w:r/>
            <w:r>
              <w:rPr>
                <w:rFonts w:ascii="Aptos" w:hAnsi="Aptos"/>
                <w:b w:val="0"/>
                <w:sz w:val="16"/>
              </w:rPr>
              <w:t>Meta</w:t>
            </w:r>
          </w:p>
        </w:tc>
        <w:tc>
          <w:tcPr>
            <w:tcW w:type="dxa" w:w="8352"/>
            <w:vAlign w:val="center"/>
            <w:shd w:fill="F1F5F7"/>
          </w:tcPr>
          <w:p>
            <w:pPr>
              <w:spacing w:after="20"/>
            </w:pPr>
            <w:r/>
            <w:r>
              <w:rPr>
                <w:rFonts w:ascii="Aptos" w:hAnsi="Aptos"/>
                <w:b w:val="0"/>
                <w:sz w:val="16"/>
              </w:rPr>
              <w:t>Valor o condición objetivo para un periodo determinado.</w:t>
            </w:r>
          </w:p>
        </w:tc>
      </w:tr>
      <w:tr>
        <w:tc>
          <w:tcPr>
            <w:tcW w:type="dxa" w:w="2160"/>
            <w:vAlign w:val="center"/>
          </w:tcPr>
          <w:p>
            <w:pPr>
              <w:spacing w:after="20"/>
            </w:pPr>
            <w:r/>
            <w:r>
              <w:rPr>
                <w:rFonts w:ascii="Aptos" w:hAnsi="Aptos"/>
                <w:b w:val="0"/>
                <w:sz w:val="16"/>
              </w:rPr>
              <w:t>Semáforo</w:t>
            </w:r>
          </w:p>
        </w:tc>
        <w:tc>
          <w:tcPr>
            <w:tcW w:type="dxa" w:w="8352"/>
            <w:vAlign w:val="center"/>
          </w:tcPr>
          <w:p>
            <w:pPr>
              <w:spacing w:after="20"/>
            </w:pPr>
            <w:r/>
            <w:r>
              <w:rPr>
                <w:rFonts w:ascii="Aptos" w:hAnsi="Aptos"/>
                <w:b w:val="0"/>
                <w:sz w:val="16"/>
              </w:rPr>
              <w:t>Clasificación visual del resultado mediante reglas aprobadas.</w:t>
            </w:r>
          </w:p>
        </w:tc>
      </w:tr>
      <w:tr>
        <w:tc>
          <w:tcPr>
            <w:tcW w:type="dxa" w:w="2160"/>
            <w:vAlign w:val="center"/>
            <w:shd w:fill="F1F5F7"/>
          </w:tcPr>
          <w:p>
            <w:pPr>
              <w:spacing w:after="20"/>
            </w:pPr>
            <w:r/>
            <w:r>
              <w:rPr>
                <w:rFonts w:ascii="Aptos" w:hAnsi="Aptos"/>
                <w:b w:val="0"/>
                <w:sz w:val="16"/>
              </w:rPr>
              <w:t>Periodo</w:t>
            </w:r>
          </w:p>
        </w:tc>
        <w:tc>
          <w:tcPr>
            <w:tcW w:type="dxa" w:w="8352"/>
            <w:vAlign w:val="center"/>
            <w:shd w:fill="F1F5F7"/>
          </w:tcPr>
          <w:p>
            <w:pPr>
              <w:spacing w:after="20"/>
            </w:pPr>
            <w:r/>
            <w:r>
              <w:rPr>
                <w:rFonts w:ascii="Aptos" w:hAnsi="Aptos"/>
                <w:b w:val="0"/>
                <w:sz w:val="16"/>
              </w:rPr>
              <w:t>Ventana temporal a la que corresponde una captura o un resultado.</w:t>
            </w:r>
          </w:p>
        </w:tc>
      </w:tr>
      <w:tr>
        <w:tc>
          <w:tcPr>
            <w:tcW w:type="dxa" w:w="2160"/>
            <w:vAlign w:val="center"/>
          </w:tcPr>
          <w:p>
            <w:pPr>
              <w:spacing w:after="20"/>
            </w:pPr>
            <w:r/>
            <w:r>
              <w:rPr>
                <w:rFonts w:ascii="Aptos" w:hAnsi="Aptos"/>
                <w:b w:val="0"/>
                <w:sz w:val="16"/>
              </w:rPr>
              <w:t>Evidencia</w:t>
            </w:r>
          </w:p>
        </w:tc>
        <w:tc>
          <w:tcPr>
            <w:tcW w:type="dxa" w:w="8352"/>
            <w:vAlign w:val="center"/>
          </w:tcPr>
          <w:p>
            <w:pPr>
              <w:spacing w:after="20"/>
            </w:pPr>
            <w:r/>
            <w:r>
              <w:rPr>
                <w:rFonts w:ascii="Aptos" w:hAnsi="Aptos"/>
                <w:b w:val="0"/>
                <w:sz w:val="16"/>
              </w:rPr>
              <w:t>Documento, archivo o enlace que respalda un dato o resultado.</w:t>
            </w:r>
          </w:p>
        </w:tc>
      </w:tr>
      <w:tr>
        <w:tc>
          <w:tcPr>
            <w:tcW w:type="dxa" w:w="2160"/>
            <w:vAlign w:val="center"/>
            <w:shd w:fill="F1F5F7"/>
          </w:tcPr>
          <w:p>
            <w:pPr>
              <w:spacing w:after="20"/>
            </w:pPr>
            <w:r/>
            <w:r>
              <w:rPr>
                <w:rFonts w:ascii="Aptos" w:hAnsi="Aptos"/>
                <w:b w:val="0"/>
                <w:sz w:val="16"/>
              </w:rPr>
              <w:t>Validación</w:t>
            </w:r>
          </w:p>
        </w:tc>
        <w:tc>
          <w:tcPr>
            <w:tcW w:type="dxa" w:w="8352"/>
            <w:vAlign w:val="center"/>
            <w:shd w:fill="F1F5F7"/>
          </w:tcPr>
          <w:p>
            <w:pPr>
              <w:spacing w:after="20"/>
            </w:pPr>
            <w:r/>
            <w:r>
              <w:rPr>
                <w:rFonts w:ascii="Aptos" w:hAnsi="Aptos"/>
                <w:b w:val="0"/>
                <w:sz w:val="16"/>
              </w:rPr>
              <w:t>Aprobación formal de un registro conforme al flujo institucional.</w:t>
            </w:r>
          </w:p>
        </w:tc>
      </w:tr>
      <w:tr>
        <w:tc>
          <w:tcPr>
            <w:tcW w:type="dxa" w:w="2160"/>
            <w:vAlign w:val="center"/>
          </w:tcPr>
          <w:p>
            <w:pPr>
              <w:spacing w:after="20"/>
            </w:pPr>
            <w:r/>
            <w:r>
              <w:rPr>
                <w:rFonts w:ascii="Aptos" w:hAnsi="Aptos"/>
                <w:b w:val="0"/>
                <w:sz w:val="16"/>
              </w:rPr>
              <w:t>Cobertura</w:t>
            </w:r>
          </w:p>
        </w:tc>
        <w:tc>
          <w:tcPr>
            <w:tcW w:type="dxa" w:w="8352"/>
            <w:vAlign w:val="center"/>
          </w:tcPr>
          <w:p>
            <w:pPr>
              <w:spacing w:after="20"/>
            </w:pPr>
            <w:r/>
            <w:r>
              <w:rPr>
                <w:rFonts w:ascii="Aptos" w:hAnsi="Aptos"/>
                <w:b w:val="0"/>
                <w:sz w:val="16"/>
              </w:rPr>
              <w:t>Grado en que los datos requeridos están disponibles para el universo esperado; no equivale al desempeño.</w:t>
            </w:r>
          </w:p>
        </w:tc>
      </w:tr>
      <w:tr>
        <w:tc>
          <w:tcPr>
            <w:tcW w:type="dxa" w:w="2160"/>
            <w:vAlign w:val="center"/>
            <w:shd w:fill="F1F5F7"/>
          </w:tcPr>
          <w:p>
            <w:pPr>
              <w:spacing w:after="20"/>
            </w:pPr>
            <w:r/>
            <w:r>
              <w:rPr>
                <w:rFonts w:ascii="Aptos" w:hAnsi="Aptos"/>
                <w:b w:val="0"/>
                <w:sz w:val="16"/>
              </w:rPr>
              <w:t>UGAT</w:t>
            </w:r>
          </w:p>
        </w:tc>
        <w:tc>
          <w:tcPr>
            <w:tcW w:type="dxa" w:w="8352"/>
            <w:vAlign w:val="center"/>
            <w:shd w:fill="F1F5F7"/>
          </w:tcPr>
          <w:p>
            <w:pPr>
              <w:spacing w:after="20"/>
            </w:pPr>
            <w:r/>
            <w:r>
              <w:rPr>
                <w:rFonts w:ascii="Aptos" w:hAnsi="Aptos"/>
                <w:b w:val="0"/>
                <w:sz w:val="16"/>
              </w:rPr>
              <w:t>Sigla utilizada en la demostración operativa; su definición y uso oficial deben confirmarse con la institución.</w:t>
            </w:r>
          </w:p>
        </w:tc>
      </w:tr>
      <w:tr>
        <w:tc>
          <w:tcPr>
            <w:tcW w:type="dxa" w:w="2160"/>
            <w:vAlign w:val="center"/>
          </w:tcPr>
          <w:p>
            <w:pPr>
              <w:spacing w:after="20"/>
            </w:pPr>
            <w:r/>
            <w:r>
              <w:rPr>
                <w:rFonts w:ascii="Aptos" w:hAnsi="Aptos"/>
                <w:b w:val="0"/>
                <w:sz w:val="16"/>
              </w:rPr>
              <w:t>Auditoría</w:t>
            </w:r>
          </w:p>
        </w:tc>
        <w:tc>
          <w:tcPr>
            <w:tcW w:type="dxa" w:w="8352"/>
            <w:vAlign w:val="center"/>
          </w:tcPr>
          <w:p>
            <w:pPr>
              <w:spacing w:after="20"/>
            </w:pPr>
            <w:r/>
            <w:r>
              <w:rPr>
                <w:rFonts w:ascii="Aptos" w:hAnsi="Aptos"/>
                <w:b w:val="0"/>
                <w:sz w:val="16"/>
              </w:rPr>
              <w:t>Registro rastreable de acciones, cambios y decisiones relevantes.</w:t>
            </w:r>
          </w:p>
        </w:tc>
      </w:tr>
      <w:tr>
        <w:tc>
          <w:tcPr>
            <w:tcW w:type="dxa" w:w="2160"/>
            <w:vAlign w:val="center"/>
            <w:shd w:fill="F1F5F7"/>
          </w:tcPr>
          <w:p>
            <w:pPr>
              <w:spacing w:after="20"/>
            </w:pPr>
            <w:r/>
            <w:r>
              <w:rPr>
                <w:rFonts w:ascii="Aptos" w:hAnsi="Aptos"/>
                <w:b w:val="0"/>
                <w:sz w:val="16"/>
              </w:rPr>
              <w:t>API</w:t>
            </w:r>
          </w:p>
        </w:tc>
        <w:tc>
          <w:tcPr>
            <w:tcW w:type="dxa" w:w="8352"/>
            <w:vAlign w:val="center"/>
            <w:shd w:fill="F1F5F7"/>
          </w:tcPr>
          <w:p>
            <w:pPr>
              <w:spacing w:after="20"/>
            </w:pPr>
            <w:r/>
            <w:r>
              <w:rPr>
                <w:rFonts w:ascii="Aptos" w:hAnsi="Aptos"/>
                <w:b w:val="0"/>
                <w:sz w:val="16"/>
              </w:rPr>
              <w:t>Interfaz que permite la comunicación entre la aplicación frontend y el backend.</w:t>
            </w:r>
          </w:p>
        </w:tc>
      </w:tr>
    </w:tbl>
    <w:p>
      <w:pPr>
        <w:spacing w:after="20"/>
      </w:pPr>
    </w:p>
    <w:p>
      <w:pPr>
        <w:pStyle w:val="Heading1"/>
      </w:pPr>
      <w:r>
        <w:t>Anexo A. Checklist de arranque</w:t>
      </w:r>
    </w:p>
    <w:p>
      <w:pPr>
        <w:pStyle w:val="ListBullet"/>
        <w:spacing w:after="40"/>
      </w:pPr>
      <w:r>
        <w:t>☐ Recibir y revisar el catálogo oficial de los 129 indicadores.</w:t>
      </w:r>
    </w:p>
    <w:p>
      <w:pPr>
        <w:pStyle w:val="ListBullet"/>
        <w:spacing w:after="40"/>
      </w:pPr>
      <w:r>
        <w:t>☐ Confirmar los campos obligatorios de cada ficha técnica.</w:t>
      </w:r>
    </w:p>
    <w:p>
      <w:pPr>
        <w:pStyle w:val="ListBullet"/>
        <w:spacing w:after="40"/>
      </w:pPr>
      <w:r>
        <w:t>☐ Identificar dependencias y responsables principales/suplentes.</w:t>
      </w:r>
    </w:p>
    <w:p>
      <w:pPr>
        <w:pStyle w:val="ListBullet"/>
        <w:spacing w:after="40"/>
      </w:pPr>
      <w:r>
        <w:t>☐ Documentar fórmulas, variables, unidades, metas, líneas base y semáforos.</w:t>
      </w:r>
    </w:p>
    <w:p>
      <w:pPr>
        <w:pStyle w:val="ListBullet"/>
        <w:spacing w:after="40"/>
      </w:pPr>
      <w:r>
        <w:t>☐ Aprobar el flujo de captura, revisión, observación, validación y cierre.</w:t>
      </w:r>
    </w:p>
    <w:p>
      <w:pPr>
        <w:pStyle w:val="ListBullet"/>
        <w:spacing w:after="40"/>
      </w:pPr>
      <w:r>
        <w:t>☐ Confirmar roles, permisos y reglas de alta/baja de usuarios.</w:t>
      </w:r>
    </w:p>
    <w:p>
      <w:pPr>
        <w:pStyle w:val="ListBullet"/>
        <w:spacing w:after="40"/>
      </w:pPr>
      <w:r>
        <w:t>☐ Confirmar infraestructura, alojamiento, base de datos y forma de acceso interno.</w:t>
      </w:r>
    </w:p>
    <w:p>
      <w:pPr>
        <w:pStyle w:val="ListBullet"/>
        <w:spacing w:after="40"/>
      </w:pPr>
      <w:r>
        <w:t>☐ Definir formatos oficiales de PDF y Excel.</w:t>
      </w:r>
    </w:p>
    <w:p>
      <w:pPr>
        <w:pStyle w:val="ListBullet"/>
        <w:spacing w:after="40"/>
      </w:pPr>
      <w:r>
        <w:t>☐ Seleccionar cuatro o más indicadores representativos para pruebas tempranas.</w:t>
      </w:r>
    </w:p>
    <w:p>
      <w:pPr>
        <w:pStyle w:val="ListBullet"/>
        <w:spacing w:after="40"/>
      </w:pPr>
      <w:r>
        <w:t>☐ Acordar alcance P0/P1/P2 y calendario de entregas.</w:t>
      </w:r>
    </w:p>
    <w:p>
      <w:pPr>
        <w:pStyle w:val="ListBullet"/>
        <w:spacing w:after="40"/>
      </w:pPr>
      <w:r>
        <w:t>☐ Acordar responsables de aceptación, seguridad, soporte y respaldo.</w:t>
      </w:r>
    </w:p>
    <w:p/>
    <w:p>
      <w:pPr>
        <w:pStyle w:val="SmallNote"/>
      </w:pPr>
      <w:r>
        <w:t>Fin del documento. Mantener la versión y la fecha actualizadas cada vez que se apruebe un cambio de alcance o una regla de negocio.</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Documento de trabajo · Versión 1.0 · Requiere validación institucional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7A66"/>
        <w:sz w:val="16"/>
      </w:rPr>
      <w:t>SIIP SALAMANCA  |  DOCUMENTO MAESTRO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3A52"/>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67A66"/>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D9773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43A5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F69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