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Alcance y definición del MVP</w:t>
      </w:r>
    </w:p>
    <w:p>
      <w:pPr>
        <w:pStyle w:val="Subtitle"/>
      </w:pPr>
      <w:r>
        <w:t>Sistema Integrado de Indicadores de Planeación (SIIP) · Salamanca, Guanajuato</w:t>
      </w:r>
    </w:p>
    <w:p>
      <w:pPr>
        <w:pStyle w:val="SmallNote"/>
      </w:pPr>
      <w:r>
        <w:t>VERSIÓN 0.2  |  BORRADOR DE TRABAJO  |  22 DE OCTUBRE DE 2026</w:t>
      </w:r>
    </w:p>
    <w:p>
      <w:r>
        <w:t>Propósito. Establecer un alcance controlado para la primera versión, registrar acuerdos de negocio y hacer visibles las decisiones aún abiertas. Este documento NO constituye aprobación del cliente ni sustituye las especificaciones detalladas por elaborar.</w:t>
      </w:r>
    </w:p>
    <w:p>
      <w:pPr>
        <w:pStyle w:val="Heading1"/>
      </w:pPr>
      <w:r>
        <w:t>1. Control y fuentes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60"/>
        <w:gridCol w:w="4860"/>
      </w:tblGrid>
      <w:tr>
        <w:trPr>
          <w:cantSplit/>
          <w:tblHeader w:val="true"/>
        </w:trPr>
        <w:tc>
          <w:tcPr>
            <w:tcW w:type="dxa" w:w="2088"/>
            <w:vAlign w:val="center"/>
            <w:shd w:fill="68263D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7416"/>
            <w:vAlign w:val="center"/>
            <w:shd w:fill="68263D"/>
          </w:tcPr>
          <w:p>
            <w:pPr>
              <w:spacing w:after="40" w:before="40"/>
            </w:pPr>
            <w:r>
              <w:rPr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Estado</w:t>
            </w:r>
          </w:p>
        </w:tc>
        <w:tc>
          <w:tcPr>
            <w:tcW w:type="dxa" w:w="741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Borrador actualizado con las decisiones funcionales aprobadas por el equipo al 22/10/2026; requiere la validación formal del cliente donde corresponda.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Documentos base</w:t>
            </w:r>
          </w:p>
        </w:tc>
        <w:tc>
          <w:tcPr>
            <w:tcW w:type="dxa" w:w="741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05 Arquitectura del sistema.docx (consultor); Diagrama 2drawio.html (propuesta ERD); Anexo 3_4 SIIP Sist(2).xlsx (fichas de indicadores)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Responsable de aprobación</w:t>
            </w:r>
          </w:p>
        </w:tc>
        <w:tc>
          <w:tcPr>
            <w:tcW w:type="dxa" w:w="741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Por designar por parte del cliente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Regla de control</w:t>
            </w:r>
          </w:p>
        </w:tc>
        <w:tc>
          <w:tcPr>
            <w:tcW w:type="dxa" w:w="741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Los cambios se registran con identificador y estado. Revisar SRS, ERD, API y pantallas si una decisión aprobada cambia.</w:t>
            </w:r>
          </w:p>
        </w:tc>
      </w:tr>
    </w:tbl>
    <w:p>
      <w:pPr>
        <w:spacing w:after="0"/>
      </w:pPr>
    </w:p>
    <w:p>
      <w:pPr>
        <w:pStyle w:val="Heading1"/>
      </w:pPr>
      <w:r>
        <w:t>2. Problema que atiende el sistema</w:t>
      </w:r>
    </w:p>
    <w:p>
      <w:r>
        <w:t>El SIIP integra información municipal de indicadores de planeación para registrar variables y evidencias, revisar consistencia, validar resultados, conservar series históricas y consultar el desempeño por indicador y agrupación temática. La operación se organiza en cuatro módulos funcionales: Captura, Seguimiento, Consulta y Administración.</w:t>
      </w:r>
    </w:p>
    <w:p>
      <w:pPr>
        <w:pStyle w:val="Heading1"/>
      </w:pPr>
      <w:r>
        <w:t>3. Datos confirmados del universo inicial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60"/>
        <w:gridCol w:w="4860"/>
      </w:tblGrid>
      <w:tr>
        <w:trPr>
          <w:cantSplit/>
          <w:tblHeader w:val="true"/>
        </w:trPr>
        <w:tc>
          <w:tcPr>
            <w:tcW w:type="dxa" w:w="2880"/>
            <w:vAlign w:val="center"/>
            <w:shd w:fill="68263D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6624"/>
            <w:vAlign w:val="center"/>
            <w:shd w:fill="68263D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Dato del Excel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Indicadores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63, con códigos únicos en la hoja IPSM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Agrupaciones temáticas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Familias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54; cada una aparece dentro de una sola agrupación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Periodicidad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35 trimestrales, 16 semestrales, 6 mensuales y 6 anuales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Condición de acumulación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24 acumulables y 39 no acumulables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Ámbito territorial de origen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55 municipales y 8 marcados Colonia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Multiplicidad de dependencias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3 identificados con dos dependencias en columnas auxiliares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Metas no definidas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8 valores marcados «Por definir» o vacíos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Líneas base no definidas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59 valores marcados «Por definir» o vacíos</w:t>
            </w:r>
          </w:p>
        </w:tc>
      </w:tr>
    </w:tbl>
    <w:p>
      <w:pPr>
        <w:spacing w:after="0"/>
      </w:pPr>
    </w:p>
    <w:p>
      <w:pPr>
        <w:pStyle w:val="SmallNote"/>
      </w:pPr>
      <w:r>
        <w:t>Nota: las 26 denominaciones de unidades responsables encontradas en el Excel no son aún un catálogo depurado; algunas contienen varias dependencias o variantes de nombres.</w:t>
      </w:r>
    </w:p>
    <w:p>
      <w:pPr>
        <w:pStyle w:val="Heading1"/>
      </w:pPr>
      <w:r>
        <w:t>4. Alcance funcional confirmado para el MVP</w:t>
      </w:r>
    </w:p>
    <w:p>
      <w:pPr>
        <w:pStyle w:val="ListBullet"/>
      </w:pPr>
      <w:r>
        <w:t>Administrar 63 indicadores iniciales bajo la jerarquía agrupación temática → familia → indicador; permitir el registro de nuevos indicadores por administración sujeto a tipos de cálculo soportados.</w:t>
      </w:r>
    </w:p>
    <w:p>
      <w:pPr>
        <w:pStyle w:val="ListBullet"/>
      </w:pPr>
      <w:r>
        <w:t>Capturar variables y evidencias requeridas por indicador y periodo, sin guardar borradores; admitir envío solo con campos completos y válidos.</w:t>
      </w:r>
    </w:p>
    <w:p>
      <w:pPr>
        <w:pStyle w:val="ListBullet"/>
      </w:pPr>
      <w:r>
        <w:t>Separar las acciones de captura y revisión/validación mediante tres roles únicos: Captura, Revisión y Administrador.</w:t>
      </w:r>
    </w:p>
    <w:p>
      <w:pPr>
        <w:pStyle w:val="ListBullet"/>
      </w:pPr>
      <w:r>
        <w:t>Restringir las vistas de Captura a indicadores vinculados con su dependencia; permitir Revisión la consulta global y la generación de reportes.</w:t>
      </w:r>
    </w:p>
    <w:p>
      <w:pPr>
        <w:pStyle w:val="ListBullet"/>
      </w:pPr>
      <w:r>
        <w:t>Habilitar automáticamente los periodos según la frecuencia de cada indicador, sin fechas límite bloqueantes de captura o validación.</w:t>
      </w:r>
    </w:p>
    <w:p>
      <w:pPr>
        <w:pStyle w:val="ListBullet"/>
      </w:pPr>
      <w:r>
        <w:t>Publicar automáticamente los resultados validados en el módulo Consulta, disponible solamente para usuarios autenticados.</w:t>
      </w:r>
    </w:p>
    <w:p>
      <w:pPr>
        <w:pStyle w:val="ListBullet"/>
      </w:pPr>
      <w:r>
        <w:t>Conservar resultados históricos validados y auditar revisiones, observaciones, correcciones, validaciones y reaperturas.</w:t>
      </w:r>
    </w:p>
    <w:p>
      <w:pPr>
        <w:pStyle w:val="ListBullet"/>
      </w:pPr>
      <w:r>
        <w:t>Permitir al administrador reabrir resultados validados y requerir una nueva validación.</w:t>
      </w:r>
    </w:p>
    <w:p>
      <w:pPr>
        <w:pStyle w:val="ListBullet"/>
      </w:pPr>
      <w:r>
        <w:t>Incluir reportes, notificaciones e importación de datos; sus formatos, disparadores y permisos específicos permanecen abiertos.</w:t>
      </w:r>
    </w:p>
    <w:p>
      <w:pPr>
        <w:pStyle w:val="ListBullet"/>
      </w:pPr>
      <w:r>
        <w:t>Limitar la captura territorial al municipio durante esta versión; no incluir chat ni módulos opcionales no aprobados.</w:t>
      </w:r>
    </w:p>
    <w:p>
      <w:pPr>
        <w:pStyle w:val="Heading1"/>
      </w:pPr>
      <w:r>
        <w:t>5. Reglas y restricciones confirmadas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60"/>
        <w:gridCol w:w="4860"/>
      </w:tblGrid>
      <w:tr>
        <w:trPr>
          <w:cantSplit/>
          <w:tblHeader w:val="true"/>
        </w:trPr>
        <w:tc>
          <w:tcPr>
            <w:tcW w:type="dxa" w:w="1181"/>
            <w:vAlign w:val="center"/>
            <w:shd w:fill="68263D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8323"/>
            <w:vAlign w:val="center"/>
            <w:shd w:fill="68263D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Regla / restricción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RN-01</w:t>
            </w:r>
          </w:p>
        </w:tc>
        <w:tc>
          <w:tcPr>
            <w:tcW w:type="dxa" w:w="8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Una familia pertenece a una sola agrupación temática; cada indicador pertenece a una sola familia.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RN-02</w:t>
            </w:r>
          </w:p>
        </w:tc>
        <w:tc>
          <w:tcPr>
            <w:tcW w:type="dxa" w:w="8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No se consolidan aportaciones de varias dependencias en una misma variable en este MVP; sí pueden existir diferentes variables a cargo de distintas dependencias.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RN-03</w:t>
            </w:r>
          </w:p>
        </w:tc>
        <w:tc>
          <w:tcPr>
            <w:tcW w:type="dxa" w:w="8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Un usuario tiene un solo rol. Se contempla una cuenta de captura por dependencia.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RN-04</w:t>
            </w:r>
          </w:p>
        </w:tc>
        <w:tc>
          <w:tcPr>
            <w:tcW w:type="dxa" w:w="8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Sin borradores: las capturas se registran únicamente cuando los campos obligatorios son válidos.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RN-05</w:t>
            </w:r>
          </w:p>
        </w:tc>
        <w:tc>
          <w:tcPr>
            <w:tcW w:type="dxa" w:w="8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Los datos faltantes no significan desempeño cero ni rojo.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RN-06</w:t>
            </w:r>
          </w:p>
        </w:tc>
        <w:tc>
          <w:tcPr>
            <w:tcW w:type="dxa" w:w="8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Evaluación temática con cortes mensuales y periodicidades mixtas. En cada corte se selecciona como máximo un resultado publicado por indicador: el del último periodo de medición completo que le corresponda. Si falta ese resultado, no se reemplaza por uno de un periodo anterior. Solo participan resultados validados con semáforo calculable; mostrar cobertura X/Y. Ponderaciones y umbrales temáticos aún pendientes.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RN-07</w:t>
            </w:r>
          </w:p>
        </w:tc>
        <w:tc>
          <w:tcPr>
            <w:tcW w:type="dxa" w:w="8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La fórmula de la ficha técnica se conserva como dato para consulta; su expresión textual no se ejecutará directamente sin revisión técnica de los tipos soportados.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RN-08</w:t>
            </w:r>
          </w:p>
        </w:tc>
        <w:tc>
          <w:tcPr>
            <w:tcW w:type="dxa" w:w="8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Las reglas de semaforización pueden cambiar; sigue pendiente definir su vigencia temporal y el efecto sobre consultas históricas.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RN-09</w:t>
            </w:r>
          </w:p>
        </w:tc>
        <w:tc>
          <w:tcPr>
            <w:tcW w:type="dxa" w:w="8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Reapertura de un resultado publicado: conservar la versión previa visible hasta nueva validación, mantener el expediente anterior y abrir otro ciclo auditado.</w:t>
            </w:r>
          </w:p>
        </w:tc>
      </w:tr>
    </w:tbl>
    <w:p>
      <w:pPr>
        <w:spacing w:after="0"/>
      </w:pPr>
    </w:p>
    <w:p>
      <w:pPr>
        <w:pStyle w:val="Heading1"/>
      </w:pPr>
      <w:r>
        <w:t>6. Roles confirmados y límites operativos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  <w:tblHeader w:val="true"/>
        </w:trPr>
        <w:tc>
          <w:tcPr>
            <w:tcW w:type="dxa" w:w="1440"/>
            <w:vAlign w:val="center"/>
            <w:shd w:fill="68263D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type="dxa" w:w="3960"/>
            <w:vAlign w:val="center"/>
            <w:shd w:fill="68263D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Facultades</w:t>
            </w:r>
          </w:p>
        </w:tc>
        <w:tc>
          <w:tcPr>
            <w:tcW w:type="dxa" w:w="4104"/>
            <w:vAlign w:val="center"/>
            <w:shd w:fill="68263D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Restricciones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Captura</w:t>
            </w:r>
          </w:p>
        </w:tc>
        <w:tc>
          <w:tcPr>
            <w:tcW w:type="dxa" w:w="396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Registrar/corregir valores completos; responder observaciones; consultar resultados e históricos de indicadores de su dependencia.</w:t>
            </w:r>
          </w:p>
        </w:tc>
        <w:tc>
          <w:tcPr>
            <w:tcW w:type="dxa" w:w="410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No validar ni ver resultados ajenos a su dependencia.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Revisión</w:t>
            </w:r>
          </w:p>
        </w:tc>
        <w:tc>
          <w:tcPr>
            <w:tcW w:type="dxa" w:w="396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Consultar capturas y evidencias; observar, solicitar correcciones, validar; consultar todos los indicadores y generar reportes.</w:t>
            </w:r>
          </w:p>
        </w:tc>
        <w:tc>
          <w:tcPr>
            <w:tcW w:type="dxa" w:w="410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No alterar silenciosamente valores capturados.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Administrador</w:t>
            </w:r>
          </w:p>
        </w:tc>
        <w:tc>
          <w:tcPr>
            <w:tcW w:type="dxa" w:w="396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Gestionar usuarios, dependencias, familias, indicadores, asignaciones, reglas soportadas, importaciones y reaperturas justificadas.</w:t>
            </w:r>
          </w:p>
        </w:tc>
        <w:tc>
          <w:tcPr>
            <w:tcW w:type="dxa" w:w="410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No sustituir la aprobación del rol Revisión ni editar auditoría o ejecutar fórmulas arbitrarias.</w:t>
            </w:r>
          </w:p>
        </w:tc>
      </w:tr>
    </w:tbl>
    <w:p>
      <w:pPr>
        <w:spacing w:after="0"/>
      </w:pPr>
    </w:p>
    <w:p>
      <w:pPr>
        <w:pStyle w:val="SmallNote"/>
      </w:pPr>
      <w:r>
        <w:t>Administración: además de gestionar catálogos y asignaciones, podrá consultar todos los resultados para supervisión; no ejercerá por sí misma funciones ordinarias de captura ni validación.</w:t>
      </w:r>
    </w:p>
    <w:p>
      <w:pPr>
        <w:pStyle w:val="Heading1"/>
      </w:pPr>
      <w:r>
        <w:t>7. Reglas aprobadas y detalles aún pendientes</w:t>
      </w:r>
    </w:p>
    <w:p>
      <w:pPr>
        <w:pStyle w:val="Heading2"/>
      </w:pPr>
      <w:r>
        <w:t>7.1 Estados mínimos de captura y revisión</w:t>
      </w:r>
    </w:p>
    <w:p>
      <w:r>
        <w:t>Ausencia de captura (estado derivado, sin fila necesariamente) → En revisión → [Observada → Corrección enviada → En revisión]* → Validada. Reapertura administrativa de una versión validada → nueva corrección/revisión → nueva validación. Se recomienda registrar los eventos de transición con actor, fecha y motivo.</w:t>
      </w:r>
    </w:p>
    <w:p>
      <w:pPr>
        <w:pStyle w:val="Heading2"/>
      </w:pPr>
      <w:r>
        <w:t>7.2 Historial de observaciones (aprobado)</w:t>
      </w:r>
    </w:p>
    <w:p>
      <w:r>
        <w:t>Cada indicador y periodo conserva hilos cronológicos por ciclo de revisión, con autor, rol, fecha, acción y contenido. El hilo se cierra al validar, pero no se elimina. Una reapertura crea un nuevo ciclo sin borrar los anteriores. Los cambios sustantivos en valores quedan registrados para auditoría; no habrá chat en tiempo real.</w:t>
      </w:r>
    </w:p>
    <w:p>
      <w:pPr>
        <w:pStyle w:val="Heading2"/>
      </w:pPr>
      <w:r>
        <w:t>7.3 Consulta y datos faltantes (aprobado en principio)</w:t>
      </w:r>
    </w:p>
    <w:p>
      <w:r>
        <w:t>Solo se publican resultados validados. Cuando un indicador carezca de valor para su periodo esperado se muestra «Sin información»; si tiene valor validado pero carece de antecedentes necesarios para semaforizar, se publica con estado «Evaluación no disponible». Ambos quedan excluidos del semáforo temático. Mostrar X/Y indicadores evaluables; cobertura mínima y umbrales temáticos siguen pendientes.</w:t>
      </w:r>
    </w:p>
    <w:p>
      <w:pPr>
        <w:pStyle w:val="Heading2"/>
      </w:pPr>
      <w:r>
        <w:t>7.4 Periodos y señalizaciones (aprobado; fecha de inicio por indicador pendiente)</w:t>
      </w:r>
    </w:p>
    <w:p>
      <w:r>
        <w:t>Los periodos se habilitan automáticamente. Avisar siete días antes de finalizar el periodo de medición y señalar periodos terminados todavía sin captura válida; ninguna señal bloquea captura ni validación. Determinar el primer periodo exigible por indicador, para no marcar como atrasado un periodo previo al inicio de operación.</w:t>
      </w:r>
    </w:p>
    <w:p>
      <w:pPr>
        <w:pStyle w:val="Heading2"/>
      </w:pPr>
      <w:r>
        <w:t>7.5 Versiones publicadas y reaperturas (aprobado)</w:t>
      </w:r>
    </w:p>
    <w:p>
      <w:r>
        <w:t>La última versión validada continúa publicada mientras se revisa una corrección; una nueva validación reemplaza la versión vigente de ese mismo indicador y periodo, sin eliminar versiones anteriores ni hilos. La reapertura requiere justificación y trazabilidad.</w:t>
      </w:r>
    </w:p>
    <w:p>
      <w:pPr>
        <w:pStyle w:val="Heading2"/>
      </w:pPr>
      <w:r>
        <w:t>7.6 Cálculos y semaforización (alcance confirmado; parametrización pendiente)</w:t>
      </w:r>
    </w:p>
    <w:p>
      <w:r>
        <w:t>Se conserva la fórmula de la ficha como texto para consulta; el backend implementará únicamente familias de operaciones verificadas con los 63 indicadores. Las reglas individuales de semaforización pueden modificarse; el mecanismo de vigencia y su efecto sobre cortes históricos queda pendiente. Las metas porcentuales del Excel pueden venir en fracciones (p. ej. 1 representa 100 % en celdas formateadas como porcentaje); la importación debe interpretar su formato y unidad, no aplicar una conversión basada solo en el valor numérico.</w:t>
      </w:r>
    </w:p>
    <w:p>
      <w:pPr>
        <w:pStyle w:val="Heading2"/>
      </w:pPr>
      <w:r>
        <w:t>7.7 Mezcla de periodos y cortes mensuales (DEC-013 · aprobado)</w:t>
      </w:r>
    </w:p>
    <w:p>
      <w:pPr/>
      <w:r>
        <w:t>Un corte corresponde al último día del mes seleccionado. Para cada indicador se identifica su periodo de medición completo más reciente al corte y exigible conforme a su fecha de inicio. Se utiliza únicamente la versión validada y publicada de ese periodo. Si todavía no existe, se excluye del cálculo temático sin arrastrar periodos antiguos. Cada indicador participa como máximo una vez; el mismo corte puede reunir resultados mensuales, trimestrales, semestrales y anuales. El detalle de cada indicador conserva su periodicidad original.</w:t>
      </w:r>
    </w:p>
    <w:p>
      <w:pPr/>
      <w:r>
        <w:t>Ejemplo de selección al corte del 30/09/2026: mensual = septiembre 2026; trimestral = julio–septiembre 2026; semestral = enero–junio 2026; anual = enero–diciembre 2025, si estos periodos están definidos como exigibles y existen resultados publicados. La falta de validación de septiembre no autoriza usar agosto para sustituirlo.</w:t>
      </w:r>
    </w:p>
    <w:p>
      <w:pPr/>
      <w:r>
        <w:t>Implicación: se requiere definir el primer periodo exigible, cómo documentar el periodo fuente utilizado en cada corte, cómo mostrar cobertura y qué hacer ante cambios posteriores de reglas o publicaciones. El sistema no convierte cifras entre periodicidades para la evaluación temática: combina únicamente las valoraciones individuales resultantes.</w:t>
      </w:r>
    </w:p>
    <w:p>
      <w:pPr>
        <w:pStyle w:val="Heading1"/>
      </w:pPr>
      <w:r>
        <w:t>8. Exclusiones recomendadas del MVP</w:t>
      </w:r>
    </w:p>
    <w:p>
      <w:pPr>
        <w:pStyle w:val="ListBullet"/>
      </w:pPr>
      <w:r>
        <w:t>Captura por colonia, localidad, UGAT u otros ámbitos territoriales distintos del municipal.</w:t>
      </w:r>
    </w:p>
    <w:p>
      <w:pPr>
        <w:pStyle w:val="ListBullet"/>
      </w:pPr>
      <w:r>
        <w:t>Motor genérico de fórmulas programables o lenguaje de expresiones arbitrarias.</w:t>
      </w:r>
    </w:p>
    <w:p>
      <w:pPr>
        <w:pStyle w:val="ListBullet"/>
      </w:pPr>
      <w:r>
        <w:t>Ponderaciones entre dependencias que aportan a una sola variable.</w:t>
      </w:r>
    </w:p>
    <w:p>
      <w:pPr>
        <w:pStyle w:val="ListBullet"/>
      </w:pPr>
      <w:r>
        <w:t>Chat, colaboración en tiempo real y conversaciones no ligadas al expediente de revisión.</w:t>
      </w:r>
    </w:p>
    <w:p>
      <w:pPr>
        <w:pStyle w:val="ListBullet"/>
      </w:pPr>
      <w:r>
        <w:t>Microservicios, event sourcing, CQRS u otros mecanismos arquitectónicos complejos no exigidos por las reglas concretas.</w:t>
      </w:r>
    </w:p>
    <w:p>
      <w:pPr>
        <w:pStyle w:val="ListBullet"/>
      </w:pPr>
      <w:r>
        <w:t>Editor de catálogos totalmente genérico, sin un conjunto de catálogos previamente delimitado.</w:t>
      </w:r>
    </w:p>
    <w:p>
      <w:pPr>
        <w:pStyle w:val="Heading1"/>
      </w:pPr>
      <w:r>
        <w:t>9. Riesgos y datos que deben validar cliente y equipo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  <w:tblHeader w:val="true"/>
        </w:trPr>
        <w:tc>
          <w:tcPr>
            <w:tcW w:type="dxa" w:w="1037"/>
            <w:vAlign w:val="center"/>
            <w:shd w:fill="68263D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160"/>
            <w:vAlign w:val="center"/>
            <w:shd w:fill="68263D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Asunto</w:t>
            </w:r>
          </w:p>
        </w:tc>
        <w:tc>
          <w:tcPr>
            <w:tcW w:type="dxa" w:w="6307"/>
            <w:vAlign w:val="center"/>
            <w:shd w:fill="68263D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Decisión solicitada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ALTA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Semáforo temático y cobertura</w:t>
            </w:r>
          </w:p>
        </w:tc>
        <w:tc>
          <w:tcPr>
            <w:tcW w:type="dxa" w:w="630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PENDIENTE: aprobar ponderaciones verde/amarillo/rojo, umbrales definitivos y si se necesita cobertura mínima. CONFIRMADO: excluye indicadores no evaluables; muestra X/Y.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ALTA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Primer periodo y disponibilidad</w:t>
            </w:r>
          </w:p>
        </w:tc>
        <w:tc>
          <w:tcPr>
            <w:tcW w:type="dxa" w:w="630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PENDIENTE: primer periodo exigible por indicador, periodo de apertura y tratamiento de datos de llegada tardía. CONFIRMADO: corte mensual con periodo completo esperado, sin arrastre si falta validación.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ALTA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Histórico de semáforos</w:t>
            </w:r>
          </w:p>
        </w:tc>
        <w:tc>
          <w:tcPr>
            <w:tcW w:type="dxa" w:w="630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PENDIENTE: vigencia temporal de reglas modificadas, recálculo vs. congelamiento de evaluaciones históricas y significado exacto de vistas históricas.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ALTA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Reglas con historial</w:t>
            </w:r>
          </w:p>
        </w:tc>
        <w:tc>
          <w:tcPr>
            <w:tcW w:type="dxa" w:w="630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CONFIRMADO: resultado validado se publica sin color si faltan antecedentes; no participa en el resultado temático. PENDIENTE: detalle por ficha cuando falte un periodo concreto.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ALTA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Datos iniciales</w:t>
            </w:r>
          </w:p>
        </w:tc>
        <w:tc>
          <w:tcPr>
            <w:tcW w:type="dxa" w:w="630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PENDIENTE: depurar datos de línea base, metas, unidades responsables y definir el primer periodo operativo de cada indicador.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MEDIA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Cálculos y metas</w:t>
            </w:r>
          </w:p>
        </w:tc>
        <w:tc>
          <w:tcPr>
            <w:tcW w:type="dxa" w:w="630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CONFIRMADO: las metas porcentuales del Excel deben interpretarse usando el formato/unidad de su ficha (1 puede representar 100 %). PENDIENTE: criterios de importación ante excepciones y unidades.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MEDIA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Catálogos editables</w:t>
            </w:r>
          </w:p>
        </w:tc>
        <w:tc>
          <w:tcPr>
            <w:tcW w:type="dxa" w:w="630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APROBADO: alcance general del administrador. PENDIENTE: delimitar la lista exacta de catálogos y configuraciones editables.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MEDIA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Importación, reportes, notificaciones</w:t>
            </w:r>
          </w:p>
        </w:tc>
        <w:tc>
          <w:tcPr>
            <w:tcW w:type="dxa" w:w="630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PENDIENTE: formatos, eventos, restricciones y criterios de aceptación concretos.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MEDIA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Fecha de publicación y corte</w:t>
            </w:r>
          </w:p>
        </w:tc>
        <w:tc>
          <w:tcPr>
            <w:tcW w:type="dxa" w:w="630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PENDIENTE: definir cortes históricos como vista actualizada de resultados publicados o como fotografía congelada de lo que se conocía a esa fecha; se recomienda la primera para el MVP.</w:t>
            </w:r>
          </w:p>
        </w:tc>
      </w:tr>
    </w:tbl>
    <w:p>
      <w:pPr>
        <w:spacing w:after="0"/>
      </w:pPr>
    </w:p>
    <w:p>
      <w:pPr>
        <w:pStyle w:val="Heading1"/>
      </w:pPr>
      <w:r>
        <w:t>10. Próximos artefactos y criterios para iniciar desarrollo</w:t>
      </w:r>
    </w:p>
    <w:p>
      <w:r>
        <w:t>Se continuará con SRS, flujos de negocio y matriz de permisos; luego modelo de datos/diccionario, contratos de API y UI/UX, más estrategia técnica, pruebas y despliegue. El ERD actual seguirá como propuesta, no como contrato definitivo, hasta cerrar las reglas de periodo, versionado de resultados, asignación de variables y trazabilidad.</w:t>
      </w:r>
    </w:p>
    <w:p>
      <w:r>
        <w:t>Criterio de inicio por funcionalidad: requisito con actor, precondición, flujo, excepciones, permisos, datos y criterios de aceptación acordados. No será necesario resolver toda la plataforma para empezar un módulo, pero ninguna decisión pendiente se tratará silenciosamente como aprobada.</w:t>
      </w:r>
    </w:p>
    <w:p>
      <w:pPr>
        <w:pStyle w:val="SmallNote"/>
      </w:pPr>
      <w:r>
        <w:t>ESTATUS: borrador de trabajo. La política DEC-013 y demás decisiones indicadas han sido confirmadas por el equipo; P-01 y los pendientes de la sección 9 requieren definición. La versión formal será aprobada por el cliente según el proceso del proyecto.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94" w:bottom="965" w:left="1094" w:header="49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16B"/>
        <w:sz w:val="16"/>
      </w:rPr>
      <w:t xml:space="preserve">Borrador 0.2 · 22 oct 2026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75D62"/>
        <w:sz w:val="16"/>
      </w:rPr>
      <w:t>SIIP SALAMANCA  /  DOCUMENTACIÓN DE DESARROLLO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64" w:lineRule="auto"/>
    </w:pPr>
    <w:rPr>
      <w:rFonts w:ascii="Aptos" w:hAnsi="Aptos"/>
      <w:color w:val="17212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68263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175D62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7212B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40"/>
      <w:contextualSpacing/>
    </w:pPr>
    <w:rPr>
      <w:rFonts w:asciiTheme="majorHAnsi" w:eastAsiaTheme="majorEastAsia" w:hAnsiTheme="majorHAnsi" w:cstheme="majorBidi" w:ascii="Aptos Display" w:hAnsi="Aptos Display"/>
      <w:b/>
      <w:color w:val="68263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00"/>
    </w:pPr>
    <w:rPr>
      <w:rFonts w:ascii="Aptos" w:hAnsi="Aptos"/>
      <w:color w:val="59616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SIIP Salamanca - Alcance y definición del MVP (borrador 0.1)</dc:title>
  <dc:subject>Definición funcional y decisiones pendientes de SIIP Salamanca</dc:subject>
  <dc:creator>Equipo de desarrollo SIIP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