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 decisiones</w:t>
      </w:r>
    </w:p>
    <w:p>
      <w:r>
        <w:t>Sistema Integrado de Indicadores de Planeación · Salamanca, Guanajuato</w:t>
      </w:r>
    </w:p>
    <w:p>
      <w:pPr>
        <w:pStyle w:val="SmallNote"/>
      </w:pPr>
      <w:r>
        <w:t>VERSIÓN 0.2  ·  22 DE OCTUBRE DE 2026  ·  CONTROL DE CAMBIOS</w:t>
      </w:r>
    </w:p>
    <w:p>
      <w:r>
        <w:t>Este documento distingue acuerdos del equipo, criterios propuestos y puntos que requieren definición. No presume aprobación formal por parte del cliente. El registro se actualizará antes de modificar SRS, modelo de datos, API o pantallas.</w:t>
      </w:r>
    </w:p>
    <w:p>
      <w:pPr>
        <w:pStyle w:val="Heading1"/>
      </w:pPr>
      <w:r>
        <w:t>1. Nueva decisión aprobada</w:t>
      </w:r>
    </w:p>
    <w:p>
      <w:pPr>
        <w:pStyle w:val="Heading2"/>
      </w:pPr>
      <w:r>
        <w:t>DEC-013 · Corte mensual con periodicidades mixtas</w:t>
      </w:r>
    </w:p>
    <w:p>
      <w:r>
        <w:rPr>
          <w:b/>
        </w:rPr>
        <w:t xml:space="preserve">Estado: </w:t>
      </w:r>
      <w:r>
        <w:t>Confirmada por el equipo el 22/10/2026; pendiente de formalización documental ante el cliente si aplica.</w:t>
      </w:r>
    </w:p>
    <w:p>
      <w:r>
        <w:rPr>
          <w:b/>
        </w:rPr>
        <w:t xml:space="preserve">Necesidad: </w:t>
      </w:r>
      <w:r>
        <w:t>Evaluar temáticas que incluyen indicadores mensuales, trimestrales, semestrales y anuales sin equiparar ni transformar sus valores.</w:t>
      </w:r>
    </w:p>
    <w:p>
      <w:r>
        <w:rPr>
          <w:b/>
        </w:rPr>
        <w:t xml:space="preserve">Acuerdo: </w:t>
      </w:r>
      <w:r>
        <w:t>Cada corte se fija al último día del mes elegido. Para cada indicador se determina el último periodo completo y exigible según su periodicidad. Solo se utiliza el resultado validado y publicado de ese periodo esperado. Si no existe, no se arrastra el dato de periodos previos. Cada indicador participa una sola vez. Los no evaluables quedan excluidos y se publica la cobertura X/Y.</w:t>
      </w:r>
    </w:p>
    <w:p>
      <w:r>
        <w:rPr>
          <w:b/>
        </w:rPr>
        <w:t xml:space="preserve">Excepciones: </w:t>
      </w:r>
      <w:r>
        <w:t>Si el indicador no ha iniciado su calendario de operación, no se marca atrasado; si existe valor publicado pero no semáforo por falta de historial, no participa en la evaluación temática. La versión anterior publicada sigue visible si una corrección del mismo periodo se encuentra en revisión.</w:t>
      </w:r>
    </w:p>
    <w:p>
      <w:r>
        <w:rPr>
          <w:b/>
        </w:rPr>
        <w:t xml:space="preserve">Impacta: </w:t>
      </w:r>
      <w:r>
        <w:t>SRS (cortes, filtros y cobertura), ERD (identificación de intervalos/versión publicada), API de consulta temática, UI de corte y detalle, pruebas de datos faltantes y cambios posteriores.</w:t>
      </w:r>
    </w:p>
    <w:p>
      <w:r>
        <w:rPr>
          <w:b/>
        </w:rPr>
        <w:t xml:space="preserve">Anula: </w:t>
      </w:r>
      <w:r>
        <w:t>Reemplaza RN-06 de la versión 0.1 de Alcance/MVP, que prohibía combinar intervalos de medición distintos.</w:t>
      </w:r>
    </w:p>
    <w:p>
      <w:pPr>
        <w:pStyle w:val="Heading2"/>
      </w:pPr>
      <w:r>
        <w:t>Ejemplo de corte · 30 de septiembre de 2026</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vAlign w:val="center"/>
            <w:shd w:fill="68233D"/>
          </w:tcPr>
          <w:p>
            <w:pPr>
              <w:spacing w:after="0" w:before="0" w:line="240" w:lineRule="auto"/>
            </w:pPr>
            <w:r>
              <w:rPr>
                <w:b/>
                <w:color w:val="FFFFFF"/>
                <w:sz w:val="14"/>
              </w:rPr>
              <w:t>Periodicidad</w:t>
            </w:r>
          </w:p>
        </w:tc>
        <w:tc>
          <w:tcPr>
            <w:tcW w:type="dxa" w:w="4896"/>
            <w:vAlign w:val="center"/>
            <w:shd w:fill="68233D"/>
          </w:tcPr>
          <w:p>
            <w:pPr>
              <w:spacing w:after="0" w:before="0" w:line="240" w:lineRule="auto"/>
            </w:pPr>
            <w:r>
              <w:rPr>
                <w:b/>
                <w:color w:val="FFFFFF"/>
                <w:sz w:val="14"/>
              </w:rPr>
              <w:t>Periodo de medición esperado al corte</w:t>
            </w:r>
          </w:p>
        </w:tc>
      </w:tr>
      <w:tr>
        <w:tc>
          <w:tcPr>
            <w:tcW w:type="dxa" w:w="4896"/>
            <w:vAlign w:val="center"/>
            <w:shd w:fill="E8EFF5"/>
          </w:tcPr>
          <w:p>
            <w:pPr>
              <w:spacing w:after="0" w:before="0" w:line="240" w:lineRule="auto"/>
            </w:pPr>
            <w:r>
              <w:rPr>
                <w:sz w:val="14"/>
              </w:rPr>
              <w:t>Mensual</w:t>
            </w:r>
          </w:p>
        </w:tc>
        <w:tc>
          <w:tcPr>
            <w:tcW w:type="dxa" w:w="4896"/>
            <w:vAlign w:val="center"/>
            <w:shd w:fill="E8EFF5"/>
          </w:tcPr>
          <w:p>
            <w:pPr>
              <w:spacing w:after="0" w:before="0" w:line="240" w:lineRule="auto"/>
            </w:pPr>
            <w:r>
              <w:rPr>
                <w:sz w:val="14"/>
              </w:rPr>
              <w:t>Septiembre de 2026</w:t>
            </w:r>
          </w:p>
        </w:tc>
      </w:tr>
      <w:tr>
        <w:tc>
          <w:tcPr>
            <w:tcW w:type="dxa" w:w="4896"/>
            <w:vAlign w:val="center"/>
            <w:shd w:fill="FFFFFF"/>
          </w:tcPr>
          <w:p>
            <w:pPr>
              <w:spacing w:after="0" w:before="0" w:line="240" w:lineRule="auto"/>
            </w:pPr>
            <w:r>
              <w:rPr>
                <w:sz w:val="14"/>
              </w:rPr>
              <w:t>Trimestral</w:t>
            </w:r>
          </w:p>
        </w:tc>
        <w:tc>
          <w:tcPr>
            <w:tcW w:type="dxa" w:w="4896"/>
            <w:vAlign w:val="center"/>
            <w:shd w:fill="FFFFFF"/>
          </w:tcPr>
          <w:p>
            <w:pPr>
              <w:spacing w:after="0" w:before="0" w:line="240" w:lineRule="auto"/>
            </w:pPr>
            <w:r>
              <w:rPr>
                <w:sz w:val="14"/>
              </w:rPr>
              <w:t>Julio a septiembre de 2026</w:t>
            </w:r>
          </w:p>
        </w:tc>
      </w:tr>
      <w:tr>
        <w:tc>
          <w:tcPr>
            <w:tcW w:type="dxa" w:w="4896"/>
            <w:vAlign w:val="center"/>
            <w:shd w:fill="E8EFF5"/>
          </w:tcPr>
          <w:p>
            <w:pPr>
              <w:spacing w:after="0" w:before="0" w:line="240" w:lineRule="auto"/>
            </w:pPr>
            <w:r>
              <w:rPr>
                <w:sz w:val="14"/>
              </w:rPr>
              <w:t>Semestral</w:t>
            </w:r>
          </w:p>
        </w:tc>
        <w:tc>
          <w:tcPr>
            <w:tcW w:type="dxa" w:w="4896"/>
            <w:vAlign w:val="center"/>
            <w:shd w:fill="E8EFF5"/>
          </w:tcPr>
          <w:p>
            <w:pPr>
              <w:spacing w:after="0" w:before="0" w:line="240" w:lineRule="auto"/>
            </w:pPr>
            <w:r>
              <w:rPr>
                <w:sz w:val="14"/>
              </w:rPr>
              <w:t>Enero a junio de 2026</w:t>
            </w:r>
          </w:p>
        </w:tc>
      </w:tr>
      <w:tr>
        <w:tc>
          <w:tcPr>
            <w:tcW w:type="dxa" w:w="4896"/>
            <w:vAlign w:val="center"/>
            <w:shd w:fill="FFFFFF"/>
          </w:tcPr>
          <w:p>
            <w:pPr>
              <w:spacing w:after="0" w:before="0" w:line="240" w:lineRule="auto"/>
            </w:pPr>
            <w:r>
              <w:rPr>
                <w:sz w:val="14"/>
              </w:rPr>
              <w:t>Anual</w:t>
            </w:r>
          </w:p>
        </w:tc>
        <w:tc>
          <w:tcPr>
            <w:tcW w:type="dxa" w:w="4896"/>
            <w:vAlign w:val="center"/>
            <w:shd w:fill="FFFFFF"/>
          </w:tcPr>
          <w:p>
            <w:pPr>
              <w:spacing w:after="0" w:before="0" w:line="240" w:lineRule="auto"/>
            </w:pPr>
            <w:r>
              <w:rPr>
                <w:sz w:val="14"/>
              </w:rPr>
              <w:t>Enero a diciembre de 2025</w:t>
            </w:r>
          </w:p>
        </w:tc>
      </w:tr>
    </w:tbl>
    <w:p>
      <w:pPr>
        <w:pStyle w:val="SmallNote"/>
      </w:pPr>
      <w:r>
        <w:t>Este ejemplo presupone periodos calendario y que el periodo está habilitado para ese indicador. El primer periodo exigible sigue sin definirse.</w:t>
      </w:r>
    </w:p>
    <w:p>
      <w:pPr>
        <w:pStyle w:val="Heading1"/>
      </w:pPr>
      <w:r>
        <w:t>2. Decisiones vigentes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shd w:fill="68233D"/>
          </w:tcPr>
          <w:p>
            <w:pPr>
              <w:spacing w:after="0" w:before="0" w:line="240" w:lineRule="auto"/>
            </w:pPr>
            <w:r>
              <w:rPr>
                <w:b/>
                <w:color w:val="FFFFFF"/>
                <w:sz w:val="14"/>
              </w:rPr>
              <w:t>ID</w:t>
            </w:r>
          </w:p>
        </w:tc>
        <w:tc>
          <w:tcPr>
            <w:tcW w:type="dxa" w:w="3264"/>
            <w:vAlign w:val="center"/>
            <w:shd w:fill="68233D"/>
          </w:tcPr>
          <w:p>
            <w:pPr>
              <w:spacing w:after="0" w:before="0" w:line="240" w:lineRule="auto"/>
            </w:pPr>
            <w:r>
              <w:rPr>
                <w:b/>
                <w:color w:val="FFFFFF"/>
                <w:sz w:val="14"/>
              </w:rPr>
              <w:t>Estado</w:t>
            </w:r>
          </w:p>
        </w:tc>
        <w:tc>
          <w:tcPr>
            <w:tcW w:type="dxa" w:w="3264"/>
            <w:vAlign w:val="center"/>
            <w:shd w:fill="68233D"/>
          </w:tcPr>
          <w:p>
            <w:pPr>
              <w:spacing w:after="0" w:before="0" w:line="240" w:lineRule="auto"/>
            </w:pPr>
            <w:r>
              <w:rPr>
                <w:b/>
                <w:color w:val="FFFFFF"/>
                <w:sz w:val="14"/>
              </w:rPr>
              <w:t>Acuerdo</w:t>
            </w:r>
          </w:p>
        </w:tc>
      </w:tr>
      <w:tr>
        <w:tc>
          <w:tcPr>
            <w:tcW w:type="dxa" w:w="3264"/>
            <w:vAlign w:val="center"/>
            <w:shd w:fill="E8EFF5"/>
          </w:tcPr>
          <w:p>
            <w:pPr>
              <w:spacing w:after="0" w:before="0" w:line="240" w:lineRule="auto"/>
            </w:pPr>
            <w:r>
              <w:rPr>
                <w:sz w:val="14"/>
              </w:rPr>
              <w:t>DEC-001</w:t>
            </w:r>
          </w:p>
        </w:tc>
        <w:tc>
          <w:tcPr>
            <w:tcW w:type="dxa" w:w="3264"/>
            <w:vAlign w:val="center"/>
            <w:shd w:fill="E8EFF5"/>
          </w:tcPr>
          <w:p>
            <w:pPr>
              <w:spacing w:after="0" w:before="0" w:line="240" w:lineRule="auto"/>
            </w:pPr>
            <w:r>
              <w:rPr>
                <w:sz w:val="14"/>
              </w:rPr>
              <w:t>Confirmada</w:t>
            </w:r>
          </w:p>
        </w:tc>
        <w:tc>
          <w:tcPr>
            <w:tcW w:type="dxa" w:w="3264"/>
            <w:vAlign w:val="center"/>
            <w:shd w:fill="E8EFF5"/>
          </w:tcPr>
          <w:p>
            <w:pPr>
              <w:spacing w:after="0" w:before="0" w:line="240" w:lineRule="auto"/>
            </w:pPr>
            <w:r>
              <w:rPr>
                <w:sz w:val="14"/>
              </w:rPr>
              <w:t>Jerarquía 1 agrupación temática → N familias; 1 familia → N indicadores. Cada indicador pertenece exactamente a una familia.</w:t>
            </w:r>
          </w:p>
        </w:tc>
      </w:tr>
      <w:tr>
        <w:tc>
          <w:tcPr>
            <w:tcW w:type="dxa" w:w="3264"/>
            <w:vAlign w:val="center"/>
            <w:shd w:fill="FFFFFF"/>
          </w:tcPr>
          <w:p>
            <w:pPr>
              <w:spacing w:after="0" w:before="0" w:line="240" w:lineRule="auto"/>
            </w:pPr>
            <w:r>
              <w:rPr>
                <w:sz w:val="14"/>
              </w:rPr>
              <w:t>DEC-002</w:t>
            </w:r>
          </w:p>
        </w:tc>
        <w:tc>
          <w:tcPr>
            <w:tcW w:type="dxa" w:w="3264"/>
            <w:vAlign w:val="center"/>
            <w:shd w:fill="FFFFFF"/>
          </w:tcPr>
          <w:p>
            <w:pPr>
              <w:spacing w:after="0" w:before="0" w:line="240" w:lineRule="auto"/>
            </w:pPr>
            <w:r>
              <w:rPr>
                <w:sz w:val="14"/>
              </w:rPr>
              <w:t>Confirmada</w:t>
            </w:r>
          </w:p>
        </w:tc>
        <w:tc>
          <w:tcPr>
            <w:tcW w:type="dxa" w:w="3264"/>
            <w:vAlign w:val="center"/>
            <w:shd w:fill="FFFFFF"/>
          </w:tcPr>
          <w:p>
            <w:pPr>
              <w:spacing w:after="0" w:before="0" w:line="240" w:lineRule="auto"/>
            </w:pPr>
            <w:r>
              <w:rPr>
                <w:sz w:val="14"/>
              </w:rPr>
              <w:t>No existen en esta fase aportaciones de varias dependencias a una misma variable; pueden aportar variables diferentes.</w:t>
            </w:r>
          </w:p>
        </w:tc>
      </w:tr>
      <w:tr>
        <w:tc>
          <w:tcPr>
            <w:tcW w:type="dxa" w:w="3264"/>
            <w:vAlign w:val="center"/>
            <w:shd w:fill="E8EFF5"/>
          </w:tcPr>
          <w:p>
            <w:pPr>
              <w:spacing w:after="0" w:before="0" w:line="240" w:lineRule="auto"/>
            </w:pPr>
            <w:r>
              <w:rPr>
                <w:sz w:val="14"/>
              </w:rPr>
              <w:t>DEC-003</w:t>
            </w:r>
          </w:p>
        </w:tc>
        <w:tc>
          <w:tcPr>
            <w:tcW w:type="dxa" w:w="3264"/>
            <w:vAlign w:val="center"/>
            <w:shd w:fill="E8EFF5"/>
          </w:tcPr>
          <w:p>
            <w:pPr>
              <w:spacing w:after="0" w:before="0" w:line="240" w:lineRule="auto"/>
            </w:pPr>
            <w:r>
              <w:rPr>
                <w:sz w:val="14"/>
              </w:rPr>
              <w:t>Confirmada</w:t>
            </w:r>
          </w:p>
        </w:tc>
        <w:tc>
          <w:tcPr>
            <w:tcW w:type="dxa" w:w="3264"/>
            <w:vAlign w:val="center"/>
            <w:shd w:fill="E8EFF5"/>
          </w:tcPr>
          <w:p>
            <w:pPr>
              <w:spacing w:after="0" w:before="0" w:line="240" w:lineRule="auto"/>
            </w:pPr>
            <w:r>
              <w:rPr>
                <w:sz w:val="14"/>
              </w:rPr>
              <w:t>La fórmula textual debe persistirse y mostrarse en la ficha; no se requiere un editor de fórmulas arbitrarias en MVP.</w:t>
            </w:r>
          </w:p>
        </w:tc>
      </w:tr>
      <w:tr>
        <w:tc>
          <w:tcPr>
            <w:tcW w:type="dxa" w:w="3264"/>
            <w:vAlign w:val="center"/>
            <w:shd w:fill="FFFFFF"/>
          </w:tcPr>
          <w:p>
            <w:pPr>
              <w:spacing w:after="0" w:before="0" w:line="240" w:lineRule="auto"/>
            </w:pPr>
            <w:r>
              <w:rPr>
                <w:sz w:val="14"/>
              </w:rPr>
              <w:t>DEC-004</w:t>
            </w:r>
          </w:p>
        </w:tc>
        <w:tc>
          <w:tcPr>
            <w:tcW w:type="dxa" w:w="3264"/>
            <w:vAlign w:val="center"/>
            <w:shd w:fill="FFFFFF"/>
          </w:tcPr>
          <w:p>
            <w:pPr>
              <w:spacing w:after="0" w:before="0" w:line="240" w:lineRule="auto"/>
            </w:pPr>
            <w:r>
              <w:rPr>
                <w:sz w:val="14"/>
              </w:rPr>
              <w:t>Confirmada</w:t>
            </w:r>
          </w:p>
        </w:tc>
        <w:tc>
          <w:tcPr>
            <w:tcW w:type="dxa" w:w="3264"/>
            <w:vAlign w:val="center"/>
            <w:shd w:fill="FFFFFF"/>
          </w:tcPr>
          <w:p>
            <w:pPr>
              <w:spacing w:after="0" w:before="0" w:line="240" w:lineRule="auto"/>
            </w:pPr>
            <w:r>
              <w:rPr>
                <w:sz w:val="14"/>
              </w:rPr>
              <w:t>Las reglas de semaforización individuales pueden cambiar. Política de vigencia histórica pendiente.</w:t>
            </w:r>
          </w:p>
        </w:tc>
      </w:tr>
      <w:tr>
        <w:tc>
          <w:tcPr>
            <w:tcW w:type="dxa" w:w="3264"/>
            <w:vAlign w:val="center"/>
            <w:shd w:fill="E8EFF5"/>
          </w:tcPr>
          <w:p>
            <w:pPr>
              <w:spacing w:after="0" w:before="0" w:line="240" w:lineRule="auto"/>
            </w:pPr>
            <w:r>
              <w:rPr>
                <w:sz w:val="14"/>
              </w:rPr>
              <w:t>DEC-005</w:t>
            </w:r>
          </w:p>
        </w:tc>
        <w:tc>
          <w:tcPr>
            <w:tcW w:type="dxa" w:w="3264"/>
            <w:vAlign w:val="center"/>
            <w:shd w:fill="E8EFF5"/>
          </w:tcPr>
          <w:p>
            <w:pPr>
              <w:spacing w:after="0" w:before="0" w:line="240" w:lineRule="auto"/>
            </w:pPr>
            <w:r>
              <w:rPr>
                <w:sz w:val="14"/>
              </w:rPr>
              <w:t>Confirmada</w:t>
            </w:r>
          </w:p>
        </w:tc>
        <w:tc>
          <w:tcPr>
            <w:tcW w:type="dxa" w:w="3264"/>
            <w:vAlign w:val="center"/>
            <w:shd w:fill="E8EFF5"/>
          </w:tcPr>
          <w:p>
            <w:pPr>
              <w:spacing w:after="0" w:before="0" w:line="240" w:lineRule="auto"/>
            </w:pPr>
            <w:r>
              <w:rPr>
                <w:sz w:val="14"/>
              </w:rPr>
              <w:t>Tres roles exclusivos: Captura, Revisión y Administrador.</w:t>
            </w:r>
          </w:p>
        </w:tc>
      </w:tr>
      <w:tr>
        <w:tc>
          <w:tcPr>
            <w:tcW w:type="dxa" w:w="3264"/>
            <w:vAlign w:val="center"/>
            <w:shd w:fill="FFFFFF"/>
          </w:tcPr>
          <w:p>
            <w:pPr>
              <w:spacing w:after="0" w:before="0" w:line="240" w:lineRule="auto"/>
            </w:pPr>
            <w:r>
              <w:rPr>
                <w:sz w:val="14"/>
              </w:rPr>
              <w:t>DEC-006</w:t>
            </w:r>
          </w:p>
        </w:tc>
        <w:tc>
          <w:tcPr>
            <w:tcW w:type="dxa" w:w="3264"/>
            <w:vAlign w:val="center"/>
            <w:shd w:fill="FFFFFF"/>
          </w:tcPr>
          <w:p>
            <w:pPr>
              <w:spacing w:after="0" w:before="0" w:line="240" w:lineRule="auto"/>
            </w:pPr>
            <w:r>
              <w:rPr>
                <w:sz w:val="14"/>
              </w:rPr>
              <w:t>Confirmada</w:t>
            </w:r>
          </w:p>
        </w:tc>
        <w:tc>
          <w:tcPr>
            <w:tcW w:type="dxa" w:w="3264"/>
            <w:vAlign w:val="center"/>
            <w:shd w:fill="FFFFFF"/>
          </w:tcPr>
          <w:p>
            <w:pPr>
              <w:spacing w:after="0" w:before="0" w:line="240" w:lineRule="auto"/>
            </w:pPr>
            <w:r>
              <w:rPr>
                <w:sz w:val="14"/>
              </w:rPr>
              <w:t>Se contempla una cuenta de Captura por dependencia.</w:t>
            </w:r>
          </w:p>
        </w:tc>
      </w:tr>
      <w:tr>
        <w:tc>
          <w:tcPr>
            <w:tcW w:type="dxa" w:w="3264"/>
            <w:vAlign w:val="center"/>
            <w:shd w:fill="E8EFF5"/>
          </w:tcPr>
          <w:p>
            <w:pPr>
              <w:spacing w:after="0" w:before="0" w:line="240" w:lineRule="auto"/>
            </w:pPr>
            <w:r>
              <w:rPr>
                <w:sz w:val="14"/>
              </w:rPr>
              <w:t>DEC-007</w:t>
            </w:r>
          </w:p>
        </w:tc>
        <w:tc>
          <w:tcPr>
            <w:tcW w:type="dxa" w:w="3264"/>
            <w:vAlign w:val="center"/>
            <w:shd w:fill="E8EFF5"/>
          </w:tcPr>
          <w:p>
            <w:pPr>
              <w:spacing w:after="0" w:before="0" w:line="240" w:lineRule="auto"/>
            </w:pPr>
            <w:r>
              <w:rPr>
                <w:sz w:val="14"/>
              </w:rPr>
              <w:t>Confirmada</w:t>
            </w:r>
          </w:p>
        </w:tc>
        <w:tc>
          <w:tcPr>
            <w:tcW w:type="dxa" w:w="3264"/>
            <w:vAlign w:val="center"/>
            <w:shd w:fill="E8EFF5"/>
          </w:tcPr>
          <w:p>
            <w:pPr>
              <w:spacing w:after="0" w:before="0" w:line="240" w:lineRule="auto"/>
            </w:pPr>
            <w:r>
              <w:rPr>
                <w:sz w:val="14"/>
              </w:rPr>
              <w:t>No existen borradores: la captura se registra solo con información completa y válida.</w:t>
            </w:r>
          </w:p>
        </w:tc>
      </w:tr>
      <w:tr>
        <w:tc>
          <w:tcPr>
            <w:tcW w:type="dxa" w:w="3264"/>
            <w:vAlign w:val="center"/>
            <w:shd w:fill="FFFFFF"/>
          </w:tcPr>
          <w:p>
            <w:pPr>
              <w:spacing w:after="0" w:before="0" w:line="240" w:lineRule="auto"/>
            </w:pPr>
            <w:r>
              <w:rPr>
                <w:sz w:val="14"/>
              </w:rPr>
              <w:t>DEC-008</w:t>
            </w:r>
          </w:p>
        </w:tc>
        <w:tc>
          <w:tcPr>
            <w:tcW w:type="dxa" w:w="3264"/>
            <w:vAlign w:val="center"/>
            <w:shd w:fill="FFFFFF"/>
          </w:tcPr>
          <w:p>
            <w:pPr>
              <w:spacing w:after="0" w:before="0" w:line="240" w:lineRule="auto"/>
            </w:pPr>
            <w:r>
              <w:rPr>
                <w:sz w:val="14"/>
              </w:rPr>
              <w:t>Confirmada</w:t>
            </w:r>
          </w:p>
        </w:tc>
        <w:tc>
          <w:tcPr>
            <w:tcW w:type="dxa" w:w="3264"/>
            <w:vAlign w:val="center"/>
            <w:shd w:fill="FFFFFF"/>
          </w:tcPr>
          <w:p>
            <w:pPr>
              <w:spacing w:after="0" w:before="0" w:line="240" w:lineRule="auto"/>
            </w:pPr>
            <w:r>
              <w:rPr>
                <w:sz w:val="14"/>
              </w:rPr>
              <w:t>Hilos de observaciones por ciclo, cerrados al validar y preservados para auditoría.</w:t>
            </w:r>
          </w:p>
        </w:tc>
      </w:tr>
      <w:tr>
        <w:tc>
          <w:tcPr>
            <w:tcW w:type="dxa" w:w="3264"/>
            <w:vAlign w:val="center"/>
            <w:shd w:fill="E8EFF5"/>
          </w:tcPr>
          <w:p>
            <w:pPr>
              <w:spacing w:after="0" w:before="0" w:line="240" w:lineRule="auto"/>
            </w:pPr>
            <w:r>
              <w:rPr>
                <w:sz w:val="14"/>
              </w:rPr>
              <w:t>DEC-009</w:t>
            </w:r>
          </w:p>
        </w:tc>
        <w:tc>
          <w:tcPr>
            <w:tcW w:type="dxa" w:w="3264"/>
            <w:vAlign w:val="center"/>
            <w:shd w:fill="E8EFF5"/>
          </w:tcPr>
          <w:p>
            <w:pPr>
              <w:spacing w:after="0" w:before="0" w:line="240" w:lineRule="auto"/>
            </w:pPr>
            <w:r>
              <w:rPr>
                <w:sz w:val="14"/>
              </w:rPr>
              <w:t>Confirmada</w:t>
            </w:r>
          </w:p>
        </w:tc>
        <w:tc>
          <w:tcPr>
            <w:tcW w:type="dxa" w:w="3264"/>
            <w:vAlign w:val="center"/>
            <w:shd w:fill="E8EFF5"/>
          </w:tcPr>
          <w:p>
            <w:pPr>
              <w:spacing w:after="0" w:before="0" w:line="240" w:lineRule="auto"/>
            </w:pPr>
            <w:r>
              <w:rPr>
                <w:sz w:val="14"/>
              </w:rPr>
              <w:t>Periodos abiertos automáticamente; sin fecha límite bloqueante para capturar o validar.</w:t>
            </w:r>
          </w:p>
        </w:tc>
      </w:tr>
      <w:tr>
        <w:tc>
          <w:tcPr>
            <w:tcW w:type="dxa" w:w="3264"/>
            <w:vAlign w:val="center"/>
            <w:shd w:fill="FFFFFF"/>
          </w:tcPr>
          <w:p>
            <w:pPr>
              <w:spacing w:after="0" w:before="0" w:line="240" w:lineRule="auto"/>
            </w:pPr>
            <w:r>
              <w:rPr>
                <w:sz w:val="14"/>
              </w:rPr>
              <w:t>DEC-010</w:t>
            </w:r>
          </w:p>
        </w:tc>
        <w:tc>
          <w:tcPr>
            <w:tcW w:type="dxa" w:w="3264"/>
            <w:vAlign w:val="center"/>
            <w:shd w:fill="FFFFFF"/>
          </w:tcPr>
          <w:p>
            <w:pPr>
              <w:spacing w:after="0" w:before="0" w:line="240" w:lineRule="auto"/>
            </w:pPr>
            <w:r>
              <w:rPr>
                <w:sz w:val="14"/>
              </w:rPr>
              <w:t>Confirmada</w:t>
            </w:r>
          </w:p>
        </w:tc>
        <w:tc>
          <w:tcPr>
            <w:tcW w:type="dxa" w:w="3264"/>
            <w:vAlign w:val="center"/>
            <w:shd w:fill="FFFFFF"/>
          </w:tcPr>
          <w:p>
            <w:pPr>
              <w:spacing w:after="0" w:before="0" w:line="240" w:lineRule="auto"/>
            </w:pPr>
            <w:r>
              <w:rPr>
                <w:sz w:val="14"/>
              </w:rPr>
              <w:t>Consulta autenticada; Captura solo ve indicadores de su dependencia; Revisión ve todos.</w:t>
            </w:r>
          </w:p>
        </w:tc>
      </w:tr>
      <w:tr>
        <w:tc>
          <w:tcPr>
            <w:tcW w:type="dxa" w:w="3264"/>
            <w:vAlign w:val="center"/>
            <w:shd w:fill="E8EFF5"/>
          </w:tcPr>
          <w:p>
            <w:pPr>
              <w:spacing w:after="0" w:before="0" w:line="240" w:lineRule="auto"/>
            </w:pPr>
            <w:r>
              <w:rPr>
                <w:sz w:val="14"/>
              </w:rPr>
              <w:t>DEC-011</w:t>
            </w:r>
          </w:p>
        </w:tc>
        <w:tc>
          <w:tcPr>
            <w:tcW w:type="dxa" w:w="3264"/>
            <w:vAlign w:val="center"/>
            <w:shd w:fill="E8EFF5"/>
          </w:tcPr>
          <w:p>
            <w:pPr>
              <w:spacing w:after="0" w:before="0" w:line="240" w:lineRule="auto"/>
            </w:pPr>
            <w:r>
              <w:rPr>
                <w:sz w:val="14"/>
              </w:rPr>
              <w:t>Confirmada</w:t>
            </w:r>
          </w:p>
        </w:tc>
        <w:tc>
          <w:tcPr>
            <w:tcW w:type="dxa" w:w="3264"/>
            <w:vAlign w:val="center"/>
            <w:shd w:fill="E8EFF5"/>
          </w:tcPr>
          <w:p>
            <w:pPr>
              <w:spacing w:after="0" w:before="0" w:line="240" w:lineRule="auto"/>
            </w:pPr>
            <w:r>
              <w:rPr>
                <w:sz w:val="14"/>
              </w:rPr>
              <w:t>Publicación automática tras validación.</w:t>
            </w:r>
          </w:p>
        </w:tc>
      </w:tr>
      <w:tr>
        <w:tc>
          <w:tcPr>
            <w:tcW w:type="dxa" w:w="3264"/>
            <w:vAlign w:val="center"/>
            <w:shd w:fill="FFFFFF"/>
          </w:tcPr>
          <w:p>
            <w:pPr>
              <w:spacing w:after="0" w:before="0" w:line="240" w:lineRule="auto"/>
            </w:pPr>
            <w:r>
              <w:rPr>
                <w:sz w:val="14"/>
              </w:rPr>
              <w:t>DEC-012</w:t>
            </w:r>
          </w:p>
        </w:tc>
        <w:tc>
          <w:tcPr>
            <w:tcW w:type="dxa" w:w="3264"/>
            <w:vAlign w:val="center"/>
            <w:shd w:fill="FFFFFF"/>
          </w:tcPr>
          <w:p>
            <w:pPr>
              <w:spacing w:after="0" w:before="0" w:line="240" w:lineRule="auto"/>
            </w:pPr>
            <w:r>
              <w:rPr>
                <w:sz w:val="14"/>
              </w:rPr>
              <w:t>Confirmada</w:t>
            </w:r>
          </w:p>
        </w:tc>
        <w:tc>
          <w:tcPr>
            <w:tcW w:type="dxa" w:w="3264"/>
            <w:vAlign w:val="center"/>
            <w:shd w:fill="FFFFFF"/>
          </w:tcPr>
          <w:p>
            <w:pPr>
              <w:spacing w:after="0" w:before="0" w:line="240" w:lineRule="auto"/>
            </w:pPr>
            <w:r>
              <w:rPr>
                <w:sz w:val="14"/>
              </w:rPr>
              <w:t>Reapertura por Administrador y nueva revisión/validación; trazabilidad obligatoria.</w:t>
            </w:r>
          </w:p>
        </w:tc>
      </w:tr>
      <w:tr>
        <w:tc>
          <w:tcPr>
            <w:tcW w:type="dxa" w:w="3264"/>
            <w:vAlign w:val="center"/>
            <w:shd w:fill="E8EFF5"/>
          </w:tcPr>
          <w:p>
            <w:pPr>
              <w:spacing w:after="0" w:before="0" w:line="240" w:lineRule="auto"/>
            </w:pPr>
            <w:r>
              <w:rPr>
                <w:sz w:val="14"/>
              </w:rPr>
              <w:t>DEC-013</w:t>
            </w:r>
          </w:p>
        </w:tc>
        <w:tc>
          <w:tcPr>
            <w:tcW w:type="dxa" w:w="3264"/>
            <w:vAlign w:val="center"/>
            <w:shd w:fill="E8EFF5"/>
          </w:tcPr>
          <w:p>
            <w:pPr>
              <w:spacing w:after="0" w:before="0" w:line="240" w:lineRule="auto"/>
            </w:pPr>
            <w:r>
              <w:rPr>
                <w:sz w:val="14"/>
              </w:rPr>
              <w:t>Confirmada</w:t>
            </w:r>
          </w:p>
        </w:tc>
        <w:tc>
          <w:tcPr>
            <w:tcW w:type="dxa" w:w="3264"/>
            <w:vAlign w:val="center"/>
            <w:shd w:fill="E8EFF5"/>
          </w:tcPr>
          <w:p>
            <w:pPr>
              <w:spacing w:after="0" w:before="0" w:line="240" w:lineRule="auto"/>
            </w:pPr>
            <w:r>
              <w:rPr>
                <w:sz w:val="14"/>
              </w:rPr>
              <w:t>Corte mensual con periodicidades mixtas según regla del apartado 1.</w:t>
            </w:r>
          </w:p>
        </w:tc>
      </w:tr>
      <w:tr>
        <w:tc>
          <w:tcPr>
            <w:tcW w:type="dxa" w:w="3264"/>
            <w:vAlign w:val="center"/>
            <w:shd w:fill="FFFFFF"/>
          </w:tcPr>
          <w:p>
            <w:pPr>
              <w:spacing w:after="0" w:before="0" w:line="240" w:lineRule="auto"/>
            </w:pPr>
            <w:r>
              <w:rPr>
                <w:sz w:val="14"/>
              </w:rPr>
              <w:t>DEC-014</w:t>
            </w:r>
          </w:p>
        </w:tc>
        <w:tc>
          <w:tcPr>
            <w:tcW w:type="dxa" w:w="3264"/>
            <w:vAlign w:val="center"/>
            <w:shd w:fill="FFFFFF"/>
          </w:tcPr>
          <w:p>
            <w:pPr>
              <w:spacing w:after="0" w:before="0" w:line="240" w:lineRule="auto"/>
            </w:pPr>
            <w:r>
              <w:rPr>
                <w:sz w:val="14"/>
              </w:rPr>
              <w:t>Confirmada</w:t>
            </w:r>
          </w:p>
        </w:tc>
        <w:tc>
          <w:tcPr>
            <w:tcW w:type="dxa" w:w="3264"/>
            <w:vAlign w:val="center"/>
            <w:shd w:fill="FFFFFF"/>
          </w:tcPr>
          <w:p>
            <w:pPr>
              <w:spacing w:after="0" w:before="0" w:line="240" w:lineRule="auto"/>
            </w:pPr>
            <w:r>
              <w:rPr>
                <w:sz w:val="14"/>
              </w:rPr>
              <w:t>Sin historial suficiente: se publica el valor validado, sin semáforo, fuera del cálculo temático.</w:t>
            </w:r>
          </w:p>
        </w:tc>
      </w:tr>
      <w:tr>
        <w:tc>
          <w:tcPr>
            <w:tcW w:type="dxa" w:w="3264"/>
            <w:vAlign w:val="center"/>
            <w:shd w:fill="E8EFF5"/>
          </w:tcPr>
          <w:p>
            <w:pPr>
              <w:spacing w:after="0" w:before="0" w:line="240" w:lineRule="auto"/>
            </w:pPr>
            <w:r>
              <w:rPr>
                <w:sz w:val="14"/>
              </w:rPr>
              <w:t>DEC-015</w:t>
            </w:r>
          </w:p>
        </w:tc>
        <w:tc>
          <w:tcPr>
            <w:tcW w:type="dxa" w:w="3264"/>
            <w:vAlign w:val="center"/>
            <w:shd w:fill="E8EFF5"/>
          </w:tcPr>
          <w:p>
            <w:pPr>
              <w:spacing w:after="0" w:before="0" w:line="240" w:lineRule="auto"/>
            </w:pPr>
            <w:r>
              <w:rPr>
                <w:sz w:val="14"/>
              </w:rPr>
              <w:t>Confirmada</w:t>
            </w:r>
          </w:p>
        </w:tc>
        <w:tc>
          <w:tcPr>
            <w:tcW w:type="dxa" w:w="3264"/>
            <w:vAlign w:val="center"/>
            <w:shd w:fill="E8EFF5"/>
          </w:tcPr>
          <w:p>
            <w:pPr>
              <w:spacing w:after="0" w:before="0" w:line="240" w:lineRule="auto"/>
            </w:pPr>
            <w:r>
              <w:rPr>
                <w:sz w:val="14"/>
              </w:rPr>
              <w:t>Indicadores originalmente por colonia: captura final municipal; respaldo permite detalle por colonia.</w:t>
            </w:r>
          </w:p>
        </w:tc>
      </w:tr>
      <w:tr>
        <w:tc>
          <w:tcPr>
            <w:tcW w:type="dxa" w:w="3264"/>
            <w:vAlign w:val="center"/>
            <w:shd w:fill="FFFFFF"/>
          </w:tcPr>
          <w:p>
            <w:pPr>
              <w:spacing w:after="0" w:before="0" w:line="240" w:lineRule="auto"/>
            </w:pPr>
            <w:r>
              <w:rPr>
                <w:sz w:val="14"/>
              </w:rPr>
              <w:t>DEC-016</w:t>
            </w:r>
          </w:p>
        </w:tc>
        <w:tc>
          <w:tcPr>
            <w:tcW w:type="dxa" w:w="3264"/>
            <w:vAlign w:val="center"/>
            <w:shd w:fill="FFFFFF"/>
          </w:tcPr>
          <w:p>
            <w:pPr>
              <w:spacing w:after="0" w:before="0" w:line="240" w:lineRule="auto"/>
            </w:pPr>
            <w:r>
              <w:rPr>
                <w:sz w:val="14"/>
              </w:rPr>
              <w:t>Confirmada</w:t>
            </w:r>
          </w:p>
        </w:tc>
        <w:tc>
          <w:tcPr>
            <w:tcW w:type="dxa" w:w="3264"/>
            <w:vAlign w:val="center"/>
            <w:shd w:fill="FFFFFF"/>
          </w:tcPr>
          <w:p>
            <w:pPr>
              <w:spacing w:after="0" w:before="0" w:line="240" w:lineRule="auto"/>
            </w:pPr>
            <w:r>
              <w:rPr>
                <w:sz w:val="14"/>
              </w:rPr>
              <w:t>Última versión validada sigue publicada durante corrección; reemplazo solo tras nueva validación.</w:t>
            </w:r>
          </w:p>
        </w:tc>
      </w:tr>
      <w:tr>
        <w:tc>
          <w:tcPr>
            <w:tcW w:type="dxa" w:w="3264"/>
            <w:vAlign w:val="center"/>
            <w:shd w:fill="E8EFF5"/>
          </w:tcPr>
          <w:p>
            <w:pPr>
              <w:spacing w:after="0" w:before="0" w:line="240" w:lineRule="auto"/>
            </w:pPr>
            <w:r>
              <w:rPr>
                <w:sz w:val="14"/>
              </w:rPr>
              <w:t>DEC-017</w:t>
            </w:r>
          </w:p>
        </w:tc>
        <w:tc>
          <w:tcPr>
            <w:tcW w:type="dxa" w:w="3264"/>
            <w:vAlign w:val="center"/>
            <w:shd w:fill="E8EFF5"/>
          </w:tcPr>
          <w:p>
            <w:pPr>
              <w:spacing w:after="0" w:before="0" w:line="240" w:lineRule="auto"/>
            </w:pPr>
            <w:r>
              <w:rPr>
                <w:sz w:val="14"/>
              </w:rPr>
              <w:t>Confirmada</w:t>
            </w:r>
          </w:p>
        </w:tc>
        <w:tc>
          <w:tcPr>
            <w:tcW w:type="dxa" w:w="3264"/>
            <w:vAlign w:val="center"/>
            <w:shd w:fill="E8EFF5"/>
          </w:tcPr>
          <w:p>
            <w:pPr>
              <w:spacing w:after="0" w:before="0" w:line="240" w:lineRule="auto"/>
            </w:pPr>
            <w:r>
              <w:rPr>
                <w:sz w:val="14"/>
              </w:rPr>
              <w:t>Aviso siete días antes del fin del periodo y pendiente al superarlo, sin bloquear.</w:t>
            </w:r>
          </w:p>
        </w:tc>
      </w:tr>
      <w:tr>
        <w:tc>
          <w:tcPr>
            <w:tcW w:type="dxa" w:w="3264"/>
            <w:vAlign w:val="center"/>
            <w:shd w:fill="FFFFFF"/>
          </w:tcPr>
          <w:p>
            <w:pPr>
              <w:spacing w:after="0" w:before="0" w:line="240" w:lineRule="auto"/>
            </w:pPr>
            <w:r>
              <w:rPr>
                <w:sz w:val="14"/>
              </w:rPr>
              <w:t>DEC-018</w:t>
            </w:r>
          </w:p>
        </w:tc>
        <w:tc>
          <w:tcPr>
            <w:tcW w:type="dxa" w:w="3264"/>
            <w:vAlign w:val="center"/>
            <w:shd w:fill="FFFFFF"/>
          </w:tcPr>
          <w:p>
            <w:pPr>
              <w:spacing w:after="0" w:before="0" w:line="240" w:lineRule="auto"/>
            </w:pPr>
            <w:r>
              <w:rPr>
                <w:sz w:val="14"/>
              </w:rPr>
              <w:t>Confirmada</w:t>
            </w:r>
          </w:p>
        </w:tc>
        <w:tc>
          <w:tcPr>
            <w:tcW w:type="dxa" w:w="3264"/>
            <w:vAlign w:val="center"/>
            <w:shd w:fill="FFFFFF"/>
          </w:tcPr>
          <w:p>
            <w:pPr>
              <w:spacing w:after="0" w:before="0" w:line="240" w:lineRule="auto"/>
            </w:pPr>
            <w:r>
              <w:rPr>
                <w:sz w:val="14"/>
              </w:rPr>
              <w:t>Metas porcentuales interpretadas mediante formato y unidad de origen (1 en una celda porcentual representa 100 %).</w:t>
            </w:r>
          </w:p>
        </w:tc>
      </w:tr>
      <w:tr>
        <w:tc>
          <w:tcPr>
            <w:tcW w:type="dxa" w:w="3264"/>
            <w:vAlign w:val="center"/>
            <w:shd w:fill="E8EFF5"/>
          </w:tcPr>
          <w:p>
            <w:pPr>
              <w:spacing w:after="0" w:before="0" w:line="240" w:lineRule="auto"/>
            </w:pPr>
            <w:r>
              <w:rPr>
                <w:sz w:val="14"/>
              </w:rPr>
              <w:t>DEC-019</w:t>
            </w:r>
          </w:p>
        </w:tc>
        <w:tc>
          <w:tcPr>
            <w:tcW w:type="dxa" w:w="3264"/>
            <w:vAlign w:val="center"/>
            <w:shd w:fill="E8EFF5"/>
          </w:tcPr>
          <w:p>
            <w:pPr>
              <w:spacing w:after="0" w:before="0" w:line="240" w:lineRule="auto"/>
            </w:pPr>
            <w:r>
              <w:rPr>
                <w:sz w:val="14"/>
              </w:rPr>
              <w:t>Confirmada</w:t>
            </w:r>
          </w:p>
        </w:tc>
        <w:tc>
          <w:tcPr>
            <w:tcW w:type="dxa" w:w="3264"/>
            <w:vAlign w:val="center"/>
            <w:shd w:fill="E8EFF5"/>
          </w:tcPr>
          <w:p>
            <w:pPr>
              <w:spacing w:after="0" w:before="0" w:line="240" w:lineRule="auto"/>
            </w:pPr>
            <w:r>
              <w:rPr>
                <w:sz w:val="14"/>
              </w:rPr>
              <w:t>Administrador: usuarios, dependencias, indicadores, variables, asignaciones, catálogos delimitados, importación, reapertura y supervisión; sin saltarse validación.</w:t>
            </w:r>
          </w:p>
        </w:tc>
      </w:tr>
      <w:tr>
        <w:tc>
          <w:tcPr>
            <w:tcW w:type="dxa" w:w="3264"/>
            <w:vAlign w:val="center"/>
            <w:shd w:fill="FFFFFF"/>
          </w:tcPr>
          <w:p>
            <w:pPr>
              <w:spacing w:after="0" w:before="0" w:line="240" w:lineRule="auto"/>
            </w:pPr>
            <w:r>
              <w:rPr>
                <w:sz w:val="14"/>
              </w:rPr>
              <w:t>DEC-020</w:t>
            </w:r>
          </w:p>
        </w:tc>
        <w:tc>
          <w:tcPr>
            <w:tcW w:type="dxa" w:w="3264"/>
            <w:vAlign w:val="center"/>
            <w:shd w:fill="FFFFFF"/>
          </w:tcPr>
          <w:p>
            <w:pPr>
              <w:spacing w:after="0" w:before="0" w:line="240" w:lineRule="auto"/>
            </w:pPr>
            <w:r>
              <w:rPr>
                <w:sz w:val="14"/>
              </w:rPr>
              <w:t>Confirmada</w:t>
            </w:r>
          </w:p>
        </w:tc>
        <w:tc>
          <w:tcPr>
            <w:tcW w:type="dxa" w:w="3264"/>
            <w:vAlign w:val="center"/>
            <w:shd w:fill="FFFFFF"/>
          </w:tcPr>
          <w:p>
            <w:pPr>
              <w:spacing w:after="0" w:before="0" w:line="240" w:lineRule="auto"/>
            </w:pPr>
            <w:r>
              <w:rPr>
                <w:sz w:val="14"/>
              </w:rPr>
              <w:t>Los indicadores sin valor validado o sin semáforo calculable no participan en el semáforo de agrupación. Debe mostrarse cobertura.</w:t>
            </w:r>
          </w:p>
        </w:tc>
      </w:tr>
    </w:tbl>
    <w:p>
      <w:pPr>
        <w:pStyle w:val="SmallNote"/>
      </w:pPr>
      <w:r>
        <w:t>Origen: acuerdos del equipo compartidos en esta conversación; no sustituye la firma de aceptación del cliente.</w:t>
      </w:r>
    </w:p>
    <w:p>
      <w:pPr>
        <w:pStyle w:val="Heading1"/>
        <w:pageBreakBefore/>
      </w:pPr>
      <w:r>
        <w:t>3. Consecuencias funcionales pendientes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shd w:fill="68233D"/>
          </w:tcPr>
          <w:p>
            <w:pPr>
              <w:spacing w:after="0" w:before="0" w:line="240" w:lineRule="auto"/>
            </w:pPr>
            <w:r>
              <w:rPr>
                <w:b/>
                <w:color w:val="FFFFFF"/>
                <w:sz w:val="14"/>
              </w:rPr>
              <w:t>Prioridad</w:t>
            </w:r>
          </w:p>
        </w:tc>
        <w:tc>
          <w:tcPr>
            <w:tcW w:type="dxa" w:w="3264"/>
            <w:vAlign w:val="center"/>
            <w:shd w:fill="68233D"/>
          </w:tcPr>
          <w:p>
            <w:pPr>
              <w:spacing w:after="0" w:before="0" w:line="240" w:lineRule="auto"/>
            </w:pPr>
            <w:r>
              <w:rPr>
                <w:b/>
                <w:color w:val="FFFFFF"/>
                <w:sz w:val="14"/>
              </w:rPr>
              <w:t>Pendiente</w:t>
            </w:r>
          </w:p>
        </w:tc>
        <w:tc>
          <w:tcPr>
            <w:tcW w:type="dxa" w:w="3264"/>
            <w:vAlign w:val="center"/>
            <w:shd w:fill="68233D"/>
          </w:tcPr>
          <w:p>
            <w:pPr>
              <w:spacing w:after="0" w:before="0" w:line="240" w:lineRule="auto"/>
            </w:pPr>
            <w:r>
              <w:rPr>
                <w:b/>
                <w:color w:val="FFFFFF"/>
                <w:sz w:val="14"/>
              </w:rPr>
              <w:t>Criterio a resolver</w:t>
            </w:r>
          </w:p>
        </w:tc>
      </w:tr>
      <w:tr>
        <w:tc>
          <w:tcPr>
            <w:tcW w:type="dxa" w:w="3264"/>
            <w:vAlign w:val="center"/>
            <w:shd w:fill="E8EFF5"/>
          </w:tcPr>
          <w:p>
            <w:pPr>
              <w:spacing w:after="0" w:before="0" w:line="240" w:lineRule="auto"/>
            </w:pPr>
            <w:r>
              <w:rPr>
                <w:sz w:val="14"/>
              </w:rPr>
              <w:t>ALTA</w:t>
            </w:r>
          </w:p>
        </w:tc>
        <w:tc>
          <w:tcPr>
            <w:tcW w:type="dxa" w:w="3264"/>
            <w:vAlign w:val="center"/>
            <w:shd w:fill="E8EFF5"/>
          </w:tcPr>
          <w:p>
            <w:pPr>
              <w:spacing w:after="0" w:before="0" w:line="240" w:lineRule="auto"/>
            </w:pPr>
            <w:r>
              <w:rPr>
                <w:sz w:val="14"/>
              </w:rPr>
              <w:t>P-01 · Regla temática y cobertura mínima</w:t>
            </w:r>
          </w:p>
        </w:tc>
        <w:tc>
          <w:tcPr>
            <w:tcW w:type="dxa" w:w="3264"/>
            <w:vAlign w:val="center"/>
            <w:shd w:fill="E8EFF5"/>
          </w:tcPr>
          <w:p>
            <w:pPr>
              <w:spacing w:after="0" w:before="0" w:line="240" w:lineRule="auto"/>
            </w:pPr>
            <w:r>
              <w:rPr>
                <w:sz w:val="14"/>
              </w:rPr>
              <w:t>Definir pesos/índice, umbrales verde-amarillo-rojo y si se permite mostrar color con muy pocos resultados (p. ej. 1 de 16). La fórmula 1 / 0.5 / 0 y los umbrales 0.80 / 0.50 siguen siendo propuesta, no acuerdo.</w:t>
            </w:r>
          </w:p>
        </w:tc>
      </w:tr>
      <w:tr>
        <w:tc>
          <w:tcPr>
            <w:tcW w:type="dxa" w:w="3264"/>
            <w:vAlign w:val="center"/>
            <w:shd w:fill="FFFFFF"/>
          </w:tcPr>
          <w:p>
            <w:pPr>
              <w:spacing w:after="0" w:before="0" w:line="240" w:lineRule="auto"/>
            </w:pPr>
            <w:r>
              <w:rPr>
                <w:sz w:val="14"/>
              </w:rPr>
              <w:t>ALTA</w:t>
            </w:r>
          </w:p>
        </w:tc>
        <w:tc>
          <w:tcPr>
            <w:tcW w:type="dxa" w:w="3264"/>
            <w:vAlign w:val="center"/>
            <w:shd w:fill="FFFFFF"/>
          </w:tcPr>
          <w:p>
            <w:pPr>
              <w:spacing w:after="0" w:before="0" w:line="240" w:lineRule="auto"/>
            </w:pPr>
            <w:r>
              <w:rPr>
                <w:sz w:val="14"/>
              </w:rPr>
              <w:t>P-07 · Primer periodo exigible</w:t>
            </w:r>
          </w:p>
        </w:tc>
        <w:tc>
          <w:tcPr>
            <w:tcW w:type="dxa" w:w="3264"/>
            <w:vAlign w:val="center"/>
            <w:shd w:fill="FFFFFF"/>
          </w:tcPr>
          <w:p>
            <w:pPr>
              <w:spacing w:after="0" w:before="0" w:line="240" w:lineRule="auto"/>
            </w:pPr>
            <w:r>
              <w:rPr>
                <w:sz w:val="14"/>
              </w:rPr>
              <w:t>Para cada indicador: primer intervalo real de operación, posible carga histórica inicial y cómo excluir periodos anteriores del conteo de pendientes.</w:t>
            </w:r>
          </w:p>
        </w:tc>
      </w:tr>
      <w:tr>
        <w:tc>
          <w:tcPr>
            <w:tcW w:type="dxa" w:w="3264"/>
            <w:vAlign w:val="center"/>
            <w:shd w:fill="E8EFF5"/>
          </w:tcPr>
          <w:p>
            <w:pPr>
              <w:spacing w:after="0" w:before="0" w:line="240" w:lineRule="auto"/>
            </w:pPr>
            <w:r>
              <w:rPr>
                <w:sz w:val="14"/>
              </w:rPr>
              <w:t>ALTA</w:t>
            </w:r>
          </w:p>
        </w:tc>
        <w:tc>
          <w:tcPr>
            <w:tcW w:type="dxa" w:w="3264"/>
            <w:vAlign w:val="center"/>
            <w:shd w:fill="E8EFF5"/>
          </w:tcPr>
          <w:p>
            <w:pPr>
              <w:spacing w:after="0" w:before="0" w:line="240" w:lineRule="auto"/>
            </w:pPr>
            <w:r>
              <w:rPr>
                <w:sz w:val="14"/>
              </w:rPr>
              <w:t>P-08 · Reglas vigentes e historial</w:t>
            </w:r>
          </w:p>
        </w:tc>
        <w:tc>
          <w:tcPr>
            <w:tcW w:type="dxa" w:w="3264"/>
            <w:vAlign w:val="center"/>
            <w:shd w:fill="E8EFF5"/>
          </w:tcPr>
          <w:p>
            <w:pPr>
              <w:spacing w:after="0" w:before="0" w:line="240" w:lineRule="auto"/>
            </w:pPr>
            <w:r>
              <w:rPr>
                <w:sz w:val="14"/>
              </w:rPr>
              <w:t>Al editar una regla individual, decidir desde qué periodo aplica y si se conserva/congela el semáforo histórico validado. Impide reinterpretación silenciosa.</w:t>
            </w:r>
          </w:p>
        </w:tc>
      </w:tr>
      <w:tr>
        <w:tc>
          <w:tcPr>
            <w:tcW w:type="dxa" w:w="3264"/>
            <w:vAlign w:val="center"/>
            <w:shd w:fill="FFFFFF"/>
          </w:tcPr>
          <w:p>
            <w:pPr>
              <w:spacing w:after="0" w:before="0" w:line="240" w:lineRule="auto"/>
            </w:pPr>
            <w:r>
              <w:rPr>
                <w:sz w:val="14"/>
              </w:rPr>
              <w:t>ALTA</w:t>
            </w:r>
          </w:p>
        </w:tc>
        <w:tc>
          <w:tcPr>
            <w:tcW w:type="dxa" w:w="3264"/>
            <w:vAlign w:val="center"/>
            <w:shd w:fill="FFFFFF"/>
          </w:tcPr>
          <w:p>
            <w:pPr>
              <w:spacing w:after="0" w:before="0" w:line="240" w:lineRule="auto"/>
            </w:pPr>
            <w:r>
              <w:rPr>
                <w:sz w:val="14"/>
              </w:rPr>
              <w:t>P-09 · Fotografía histórica</w:t>
            </w:r>
          </w:p>
        </w:tc>
        <w:tc>
          <w:tcPr>
            <w:tcW w:type="dxa" w:w="3264"/>
            <w:vAlign w:val="center"/>
            <w:shd w:fill="FFFFFF"/>
          </w:tcPr>
          <w:p>
            <w:pPr>
              <w:spacing w:after="0" w:before="0" w:line="240" w:lineRule="auto"/>
            </w:pPr>
            <w:r>
              <w:rPr>
                <w:sz w:val="14"/>
              </w:rPr>
              <w:t>Elegir si un corte histórico muestra los resultados actualmente publicados para ese intervalo (recomendado para MVP) o una reconstrucción de lo que se sabía en esa fecha. Son cosas distintas.</w:t>
            </w:r>
          </w:p>
        </w:tc>
      </w:tr>
      <w:tr>
        <w:tc>
          <w:tcPr>
            <w:tcW w:type="dxa" w:w="3264"/>
            <w:vAlign w:val="center"/>
            <w:shd w:fill="E8EFF5"/>
          </w:tcPr>
          <w:p>
            <w:pPr>
              <w:spacing w:after="0" w:before="0" w:line="240" w:lineRule="auto"/>
            </w:pPr>
            <w:r>
              <w:rPr>
                <w:sz w:val="14"/>
              </w:rPr>
              <w:t>ALTA</w:t>
            </w:r>
          </w:p>
        </w:tc>
        <w:tc>
          <w:tcPr>
            <w:tcW w:type="dxa" w:w="3264"/>
            <w:vAlign w:val="center"/>
            <w:shd w:fill="E8EFF5"/>
          </w:tcPr>
          <w:p>
            <w:pPr>
              <w:spacing w:after="0" w:before="0" w:line="240" w:lineRule="auto"/>
            </w:pPr>
            <w:r>
              <w:rPr>
                <w:sz w:val="14"/>
              </w:rPr>
              <w:t>P-10 · Periodo sin resultado y cobertura</w:t>
            </w:r>
          </w:p>
        </w:tc>
        <w:tc>
          <w:tcPr>
            <w:tcW w:type="dxa" w:w="3264"/>
            <w:vAlign w:val="center"/>
            <w:shd w:fill="E8EFF5"/>
          </w:tcPr>
          <w:p>
            <w:pPr>
              <w:spacing w:after="0" w:before="0" w:line="240" w:lineRule="auto"/>
            </w:pPr>
            <w:r>
              <w:rPr>
                <w:sz w:val="14"/>
              </w:rPr>
              <w:t>Precisar el denominador Y: total configurado de la agrupación o solo indicadores ya vigentes a ese corte; conviene separar Y elegibles, N evaluables y N aún no exigibles.</w:t>
            </w:r>
          </w:p>
        </w:tc>
      </w:tr>
      <w:tr>
        <w:tc>
          <w:tcPr>
            <w:tcW w:type="dxa" w:w="3264"/>
            <w:vAlign w:val="center"/>
            <w:shd w:fill="FFFFFF"/>
          </w:tcPr>
          <w:p>
            <w:pPr>
              <w:spacing w:after="0" w:before="0" w:line="240" w:lineRule="auto"/>
            </w:pPr>
            <w:r>
              <w:rPr>
                <w:sz w:val="14"/>
              </w:rPr>
              <w:t>MEDIA</w:t>
            </w:r>
          </w:p>
        </w:tc>
        <w:tc>
          <w:tcPr>
            <w:tcW w:type="dxa" w:w="3264"/>
            <w:vAlign w:val="center"/>
            <w:shd w:fill="FFFFFF"/>
          </w:tcPr>
          <w:p>
            <w:pPr>
              <w:spacing w:after="0" w:before="0" w:line="240" w:lineRule="auto"/>
            </w:pPr>
            <w:r>
              <w:rPr>
                <w:sz w:val="14"/>
              </w:rPr>
              <w:t>P-11 · Vista de corte y trazabilidad</w:t>
            </w:r>
          </w:p>
        </w:tc>
        <w:tc>
          <w:tcPr>
            <w:tcW w:type="dxa" w:w="3264"/>
            <w:vAlign w:val="center"/>
            <w:shd w:fill="FFFFFF"/>
          </w:tcPr>
          <w:p>
            <w:pPr>
              <w:spacing w:after="0" w:before="0" w:line="240" w:lineRule="auto"/>
            </w:pPr>
            <w:r>
              <w:rPr>
                <w:sz w:val="14"/>
              </w:rPr>
              <w:t>Mostrar en la UI el periodo fuente de cada indicador, fecha de validación y advertencias de cobertura parcial; aclarar que un dato anual 2025 puede integrarse al corte de sep-2026.</w:t>
            </w:r>
          </w:p>
        </w:tc>
      </w:tr>
      <w:tr>
        <w:tc>
          <w:tcPr>
            <w:tcW w:type="dxa" w:w="3264"/>
            <w:vAlign w:val="center"/>
            <w:shd w:fill="E8EFF5"/>
          </w:tcPr>
          <w:p>
            <w:pPr>
              <w:spacing w:after="0" w:before="0" w:line="240" w:lineRule="auto"/>
            </w:pPr>
            <w:r>
              <w:rPr>
                <w:sz w:val="14"/>
              </w:rPr>
              <w:t>MEDIA</w:t>
            </w:r>
          </w:p>
        </w:tc>
        <w:tc>
          <w:tcPr>
            <w:tcW w:type="dxa" w:w="3264"/>
            <w:vAlign w:val="center"/>
            <w:shd w:fill="E8EFF5"/>
          </w:tcPr>
          <w:p>
            <w:pPr>
              <w:spacing w:after="0" w:before="0" w:line="240" w:lineRule="auto"/>
            </w:pPr>
            <w:r>
              <w:rPr>
                <w:sz w:val="14"/>
              </w:rPr>
              <w:t>P-12 · Periodos de captura e importación</w:t>
            </w:r>
          </w:p>
        </w:tc>
        <w:tc>
          <w:tcPr>
            <w:tcW w:type="dxa" w:w="3264"/>
            <w:vAlign w:val="center"/>
            <w:shd w:fill="E8EFF5"/>
          </w:tcPr>
          <w:p>
            <w:pPr>
              <w:spacing w:after="0" w:before="0" w:line="240" w:lineRule="auto"/>
            </w:pPr>
            <w:r>
              <w:rPr>
                <w:sz w:val="14"/>
              </w:rPr>
              <w:t>Definir regla de generación automática, timezone, fechas de apertura, intervalos calendario y validaciones al importar períodos anteriores/futuros.</w:t>
            </w:r>
          </w:p>
        </w:tc>
      </w:tr>
      <w:tr>
        <w:tc>
          <w:tcPr>
            <w:tcW w:type="dxa" w:w="3264"/>
            <w:vAlign w:val="center"/>
            <w:shd w:fill="FFFFFF"/>
          </w:tcPr>
          <w:p>
            <w:pPr>
              <w:spacing w:after="0" w:before="0" w:line="240" w:lineRule="auto"/>
            </w:pPr>
            <w:r>
              <w:rPr>
                <w:sz w:val="14"/>
              </w:rPr>
              <w:t>MEDIA</w:t>
            </w:r>
          </w:p>
        </w:tc>
        <w:tc>
          <w:tcPr>
            <w:tcW w:type="dxa" w:w="3264"/>
            <w:vAlign w:val="center"/>
            <w:shd w:fill="FFFFFF"/>
          </w:tcPr>
          <w:p>
            <w:pPr>
              <w:spacing w:after="0" w:before="0" w:line="240" w:lineRule="auto"/>
            </w:pPr>
            <w:r>
              <w:rPr>
                <w:sz w:val="14"/>
              </w:rPr>
              <w:t>P-13 · Evolución de índices</w:t>
            </w:r>
          </w:p>
        </w:tc>
        <w:tc>
          <w:tcPr>
            <w:tcW w:type="dxa" w:w="3264"/>
            <w:vAlign w:val="center"/>
            <w:shd w:fill="FFFFFF"/>
          </w:tcPr>
          <w:p>
            <w:pPr>
              <w:spacing w:after="0" w:before="0" w:line="240" w:lineRule="auto"/>
            </w:pPr>
            <w:r>
              <w:rPr>
                <w:sz w:val="14"/>
              </w:rPr>
              <w:t>Definir si guardar instantáneas del índice por corte o calcularlo desde resultados y reglas versionadas; para un MVP simple se recomienda cálculo bajo demanda, sujeto a política histórica.</w:t>
            </w:r>
          </w:p>
        </w:tc>
      </w:tr>
      <w:tr>
        <w:tc>
          <w:tcPr>
            <w:tcW w:type="dxa" w:w="3264"/>
            <w:vAlign w:val="center"/>
            <w:shd w:fill="E8EFF5"/>
          </w:tcPr>
          <w:p>
            <w:pPr>
              <w:spacing w:after="0" w:before="0" w:line="240" w:lineRule="auto"/>
            </w:pPr>
            <w:r>
              <w:rPr>
                <w:sz w:val="14"/>
              </w:rPr>
              <w:t>MEDIA</w:t>
            </w:r>
          </w:p>
        </w:tc>
        <w:tc>
          <w:tcPr>
            <w:tcW w:type="dxa" w:w="3264"/>
            <w:vAlign w:val="center"/>
            <w:shd w:fill="E8EFF5"/>
          </w:tcPr>
          <w:p>
            <w:pPr>
              <w:spacing w:after="0" w:before="0" w:line="240" w:lineRule="auto"/>
            </w:pPr>
            <w:r>
              <w:rPr>
                <w:sz w:val="14"/>
              </w:rPr>
              <w:t>P-14 · Catálogos, reportes y avisos</w:t>
            </w:r>
          </w:p>
        </w:tc>
        <w:tc>
          <w:tcPr>
            <w:tcW w:type="dxa" w:w="3264"/>
            <w:vAlign w:val="center"/>
            <w:shd w:fill="E8EFF5"/>
          </w:tcPr>
          <w:p>
            <w:pPr>
              <w:spacing w:after="0" w:before="0" w:line="240" w:lineRule="auto"/>
            </w:pPr>
            <w:r>
              <w:rPr>
                <w:sz w:val="14"/>
              </w:rPr>
              <w:t>Concretar catálogos editables, formatos de reportes y medios de notificación, sin ampliar el MVP por suposiciones.</w:t>
            </w:r>
          </w:p>
        </w:tc>
      </w:tr>
    </w:tbl>
    <w:p>
      <w:pPr>
        <w:pStyle w:val="Heading1"/>
      </w:pPr>
      <w:r>
        <w:t>4. Criterios de aceptación para DEC-013</w:t>
      </w:r>
    </w:p>
    <w:p>
      <w:pPr>
        <w:pStyle w:val="ListBullet"/>
        <w:spacing w:after="20"/>
      </w:pPr>
      <w:r>
        <w:rPr>
          <w:sz w:val="16"/>
        </w:rPr>
        <w:t>Para un corte mensual, identificar el intervalo completo que corresponde a cada frecuencia, sin transformar unidades ni promediar variables.</w:t>
      </w:r>
    </w:p>
    <w:p>
      <w:pPr>
        <w:pStyle w:val="ListBullet"/>
        <w:spacing w:after="20"/>
      </w:pPr>
      <w:r>
        <w:rPr>
          <w:sz w:val="16"/>
        </w:rPr>
        <w:t>Si falta el resultado esperado pero existe uno de un periodo anterior, no arrastrar el anterior a la evaluación temática.</w:t>
      </w:r>
    </w:p>
    <w:p>
      <w:pPr>
        <w:pStyle w:val="ListBullet"/>
        <w:spacing w:after="20"/>
      </w:pPr>
      <w:r>
        <w:rPr>
          <w:sz w:val="16"/>
        </w:rPr>
        <w:t>Una captura no validada, una observada y un valor sin color no aumentan N evaluables.</w:t>
      </w:r>
    </w:p>
    <w:p>
      <w:pPr>
        <w:pStyle w:val="ListBullet"/>
        <w:spacing w:after="20"/>
      </w:pPr>
      <w:r>
        <w:rPr>
          <w:sz w:val="16"/>
        </w:rPr>
        <w:t>Un indicador aporta como máximo un resultado temático por corte.</w:t>
      </w:r>
    </w:p>
    <w:p>
      <w:pPr>
        <w:pStyle w:val="ListBullet"/>
        <w:spacing w:after="20"/>
      </w:pPr>
      <w:r>
        <w:rPr>
          <w:sz w:val="16"/>
        </w:rPr>
        <w:t>El detalle del tablero explica qué periodo fuente se usó para cada resultado.</w:t>
      </w:r>
    </w:p>
    <w:p>
      <w:pPr>
        <w:pStyle w:val="ListBullet"/>
        <w:spacing w:after="20"/>
      </w:pPr>
      <w:r>
        <w:rPr>
          <w:sz w:val="16"/>
        </w:rPr>
        <w:t>La reapertura de una captura validada no hace desaparecer el último resultado publicado de ese mismo periodo.</w:t>
      </w:r>
    </w:p>
    <w:p>
      <w:pPr>
        <w:pStyle w:val="ListBullet"/>
        <w:spacing w:after="20"/>
      </w:pPr>
      <w:r>
        <w:rPr>
          <w:sz w:val="16"/>
        </w:rPr>
        <w:t>En un corte sin evaluables, el resultado temático es «Sin evaluación», sin color; nunca cero ni rojo.</w:t>
      </w:r>
    </w:p>
    <w:p>
      <w:pPr>
        <w:pStyle w:val="SmallNote"/>
      </w:pPr>
      <w:r>
        <w:t>Fuentes de trabajo: 05 Arquitectura del sistema.docx; Anexo 3_4 SIIP Sist(2).xlsx (63 indicadores, periodicidades); Diagrama 2drawio.html; acuerdos del equipo hasta el 22/10/2026.</w:t>
      </w:r>
    </w:p>
    <w:sectPr w:rsidR="00FC693F" w:rsidRPr="0006063C" w:rsidSect="00034616">
      <w:headerReference w:type="default" r:id="rId9"/>
      <w:footerReference w:type="default" r:id="rId10"/>
      <w:pgSz w:w="12240" w:h="15840"/>
      <w:pgMar w:top="864"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5C6F"/>
        <w:sz w:val="16"/>
      </w:rPr>
      <w:t>Borrador v0.2   |   22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1595E"/>
        <w:sz w:val="16"/>
      </w:rPr>
      <w:t>SIIP SALAMANCA  /  CONTROL DE DECISIONES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B323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68233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68233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68233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color w:val="535C6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