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794"/>
        <w:gridCol w:w="4192"/>
      </w:tblGrid>
      <w:tr w:rsidR="00117FA1" w:rsidTr="00EB1C7F">
        <w:tc>
          <w:tcPr>
            <w:tcW w:w="8978" w:type="dxa"/>
            <w:gridSpan w:val="3"/>
          </w:tcPr>
          <w:p w:rsidR="00117FA1" w:rsidRDefault="00117FA1" w:rsidP="00117FA1">
            <w:pPr>
              <w:jc w:val="center"/>
            </w:pPr>
            <w:r>
              <w:t>TABLAS DE LA BASE DE DATOS</w:t>
            </w:r>
          </w:p>
        </w:tc>
      </w:tr>
      <w:tr w:rsidR="005E236D" w:rsidTr="005E236D">
        <w:tc>
          <w:tcPr>
            <w:tcW w:w="2992" w:type="dxa"/>
            <w:shd w:val="clear" w:color="auto" w:fill="4A442A" w:themeFill="background2" w:themeFillShade="40"/>
          </w:tcPr>
          <w:p w:rsidR="005E236D" w:rsidRPr="005E236D" w:rsidRDefault="005E236D" w:rsidP="005E236D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5E236D">
              <w:rPr>
                <w:b/>
                <w:color w:val="FFFFFF" w:themeColor="background1"/>
                <w:sz w:val="36"/>
                <w:szCs w:val="36"/>
              </w:rPr>
              <w:t>Area</w:t>
            </w:r>
            <w:proofErr w:type="spellEnd"/>
          </w:p>
        </w:tc>
        <w:tc>
          <w:tcPr>
            <w:tcW w:w="1794" w:type="dxa"/>
            <w:shd w:val="clear" w:color="auto" w:fill="4A442A" w:themeFill="background2" w:themeFillShade="40"/>
          </w:tcPr>
          <w:p w:rsidR="005E236D" w:rsidRPr="005E236D" w:rsidRDefault="005E236D" w:rsidP="005E236D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5E236D">
              <w:rPr>
                <w:b/>
                <w:color w:val="FFFFFF" w:themeColor="background1"/>
                <w:sz w:val="36"/>
                <w:szCs w:val="36"/>
              </w:rPr>
              <w:t>mysql</w:t>
            </w:r>
            <w:proofErr w:type="spellEnd"/>
          </w:p>
        </w:tc>
        <w:tc>
          <w:tcPr>
            <w:tcW w:w="4192" w:type="dxa"/>
            <w:shd w:val="clear" w:color="auto" w:fill="4A442A" w:themeFill="background2" w:themeFillShade="40"/>
          </w:tcPr>
          <w:p w:rsidR="005E236D" w:rsidRPr="005E236D" w:rsidRDefault="005E236D" w:rsidP="005E236D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5E236D">
              <w:rPr>
                <w:b/>
                <w:color w:val="FFFFFF" w:themeColor="background1"/>
                <w:sz w:val="36"/>
                <w:szCs w:val="36"/>
              </w:rPr>
              <w:t>Indicador</w:t>
            </w:r>
          </w:p>
        </w:tc>
      </w:tr>
      <w:tr w:rsidR="00117FA1" w:rsidTr="005C3495">
        <w:tc>
          <w:tcPr>
            <w:tcW w:w="2992" w:type="dxa"/>
            <w:vMerge w:val="restart"/>
            <w:shd w:val="clear" w:color="auto" w:fill="F2DBDB" w:themeFill="accent2" w:themeFillTint="33"/>
            <w:vAlign w:val="center"/>
          </w:tcPr>
          <w:p w:rsidR="00117FA1" w:rsidRDefault="00117FA1" w:rsidP="00D963A0">
            <w:pPr>
              <w:jc w:val="center"/>
            </w:pPr>
            <w:r>
              <w:t>ALMACEN</w:t>
            </w:r>
          </w:p>
        </w:tc>
        <w:tc>
          <w:tcPr>
            <w:tcW w:w="1794" w:type="dxa"/>
            <w:shd w:val="clear" w:color="auto" w:fill="F2DBDB" w:themeFill="accent2" w:themeFillTint="33"/>
          </w:tcPr>
          <w:p w:rsidR="00117FA1" w:rsidRDefault="00117FA1" w:rsidP="00D963A0">
            <w:pPr>
              <w:jc w:val="center"/>
            </w:pPr>
            <w:r>
              <w:t>a1_rot</w:t>
            </w:r>
          </w:p>
        </w:tc>
        <w:tc>
          <w:tcPr>
            <w:tcW w:w="4192" w:type="dxa"/>
            <w:shd w:val="clear" w:color="auto" w:fill="F2DBDB" w:themeFill="accent2" w:themeFillTint="33"/>
          </w:tcPr>
          <w:p w:rsidR="00117FA1" w:rsidRDefault="00FD722A" w:rsidP="00D963A0">
            <w:pPr>
              <w:jc w:val="center"/>
            </w:pPr>
            <w:r>
              <w:t>Rotación de inventarios</w:t>
            </w:r>
          </w:p>
        </w:tc>
      </w:tr>
      <w:tr w:rsidR="00117FA1" w:rsidTr="005C3495">
        <w:tc>
          <w:tcPr>
            <w:tcW w:w="2992" w:type="dxa"/>
            <w:vMerge/>
            <w:shd w:val="clear" w:color="auto" w:fill="F2DBDB" w:themeFill="accent2" w:themeFillTint="33"/>
            <w:vAlign w:val="center"/>
          </w:tcPr>
          <w:p w:rsidR="00117FA1" w:rsidRDefault="00117FA1" w:rsidP="00D963A0">
            <w:pPr>
              <w:jc w:val="center"/>
            </w:pPr>
          </w:p>
        </w:tc>
        <w:tc>
          <w:tcPr>
            <w:tcW w:w="1794" w:type="dxa"/>
            <w:shd w:val="clear" w:color="auto" w:fill="F2DBDB" w:themeFill="accent2" w:themeFillTint="33"/>
          </w:tcPr>
          <w:p w:rsidR="00117FA1" w:rsidRDefault="00FD722A" w:rsidP="00D963A0">
            <w:pPr>
              <w:jc w:val="center"/>
            </w:pPr>
            <w:r>
              <w:t>a2_tiem</w:t>
            </w:r>
          </w:p>
        </w:tc>
        <w:tc>
          <w:tcPr>
            <w:tcW w:w="4192" w:type="dxa"/>
            <w:shd w:val="clear" w:color="auto" w:fill="F2DBDB" w:themeFill="accent2" w:themeFillTint="33"/>
          </w:tcPr>
          <w:p w:rsidR="00117FA1" w:rsidRDefault="00FD722A" w:rsidP="00D963A0">
            <w:pPr>
              <w:jc w:val="center"/>
            </w:pPr>
            <w:r>
              <w:t>Tiempo de permanencia de inventarios</w:t>
            </w:r>
          </w:p>
        </w:tc>
      </w:tr>
      <w:tr w:rsidR="00FD722A" w:rsidTr="005C3495">
        <w:tc>
          <w:tcPr>
            <w:tcW w:w="2992" w:type="dxa"/>
            <w:vMerge w:val="restart"/>
            <w:shd w:val="clear" w:color="auto" w:fill="EAF1DD" w:themeFill="accent3" w:themeFillTint="33"/>
            <w:vAlign w:val="center"/>
          </w:tcPr>
          <w:p w:rsidR="00FD722A" w:rsidRDefault="00FD722A" w:rsidP="00D963A0">
            <w:pPr>
              <w:jc w:val="center"/>
            </w:pPr>
            <w:r>
              <w:t>CUENTAS POR PAGAR</w:t>
            </w:r>
          </w:p>
        </w:tc>
        <w:tc>
          <w:tcPr>
            <w:tcW w:w="1794" w:type="dxa"/>
            <w:shd w:val="clear" w:color="auto" w:fill="EAF1DD" w:themeFill="accent3" w:themeFillTint="33"/>
          </w:tcPr>
          <w:p w:rsidR="00FD722A" w:rsidRDefault="00FD722A" w:rsidP="00D963A0">
            <w:pPr>
              <w:jc w:val="center"/>
            </w:pPr>
            <w:r>
              <w:t>cpp1_plaz</w:t>
            </w:r>
          </w:p>
        </w:tc>
        <w:tc>
          <w:tcPr>
            <w:tcW w:w="4192" w:type="dxa"/>
            <w:shd w:val="clear" w:color="auto" w:fill="EAF1DD" w:themeFill="accent3" w:themeFillTint="33"/>
          </w:tcPr>
          <w:p w:rsidR="00FD722A" w:rsidRDefault="00FD722A" w:rsidP="00D963A0">
            <w:pPr>
              <w:jc w:val="center"/>
            </w:pPr>
            <w:r>
              <w:t>Plazo promedio de pago (sin trigos)</w:t>
            </w:r>
          </w:p>
        </w:tc>
      </w:tr>
      <w:tr w:rsidR="00FD722A" w:rsidTr="005C3495">
        <w:tc>
          <w:tcPr>
            <w:tcW w:w="2992" w:type="dxa"/>
            <w:vMerge/>
            <w:shd w:val="clear" w:color="auto" w:fill="EAF1DD" w:themeFill="accent3" w:themeFillTint="33"/>
          </w:tcPr>
          <w:p w:rsidR="00FD722A" w:rsidRDefault="00FD722A" w:rsidP="00D963A0">
            <w:pPr>
              <w:jc w:val="center"/>
            </w:pPr>
          </w:p>
        </w:tc>
        <w:tc>
          <w:tcPr>
            <w:tcW w:w="1794" w:type="dxa"/>
            <w:shd w:val="clear" w:color="auto" w:fill="EAF1DD" w:themeFill="accent3" w:themeFillTint="33"/>
          </w:tcPr>
          <w:p w:rsidR="00FD722A" w:rsidRDefault="00FD722A" w:rsidP="00D963A0">
            <w:pPr>
              <w:jc w:val="center"/>
            </w:pPr>
            <w:r>
              <w:t>cpp2</w:t>
            </w:r>
            <w:r>
              <w:t>_</w:t>
            </w:r>
            <w:r>
              <w:t>ind</w:t>
            </w:r>
          </w:p>
        </w:tc>
        <w:tc>
          <w:tcPr>
            <w:tcW w:w="4192" w:type="dxa"/>
            <w:shd w:val="clear" w:color="auto" w:fill="EAF1DD" w:themeFill="accent3" w:themeFillTint="33"/>
          </w:tcPr>
          <w:p w:rsidR="00FD722A" w:rsidRDefault="00FD722A" w:rsidP="00D963A0">
            <w:pPr>
              <w:jc w:val="center"/>
            </w:pPr>
            <w:r w:rsidRPr="00FD722A">
              <w:t>Índice de rotación de cartera (sin trigos)</w:t>
            </w:r>
          </w:p>
        </w:tc>
      </w:tr>
      <w:tr w:rsidR="005C3495" w:rsidTr="005C3495">
        <w:tc>
          <w:tcPr>
            <w:tcW w:w="2992" w:type="dxa"/>
            <w:vMerge w:val="restart"/>
            <w:shd w:val="clear" w:color="auto" w:fill="FBD4B4" w:themeFill="accent6" w:themeFillTint="66"/>
            <w:vAlign w:val="center"/>
          </w:tcPr>
          <w:p w:rsidR="005C3495" w:rsidRDefault="005C3495" w:rsidP="00D963A0">
            <w:pPr>
              <w:jc w:val="center"/>
            </w:pPr>
            <w:r>
              <w:t>CUENTAS POR COBRAR</w:t>
            </w:r>
          </w:p>
        </w:tc>
        <w:tc>
          <w:tcPr>
            <w:tcW w:w="1794" w:type="dxa"/>
            <w:shd w:val="clear" w:color="auto" w:fill="FBD4B4" w:themeFill="accent6" w:themeFillTint="66"/>
          </w:tcPr>
          <w:p w:rsidR="005C3495" w:rsidRDefault="005C3495" w:rsidP="00D963A0">
            <w:pPr>
              <w:jc w:val="center"/>
            </w:pPr>
            <w:r>
              <w:t>cpc1_ind</w:t>
            </w:r>
          </w:p>
        </w:tc>
        <w:tc>
          <w:tcPr>
            <w:tcW w:w="4192" w:type="dxa"/>
            <w:shd w:val="clear" w:color="auto" w:fill="FBD4B4" w:themeFill="accent6" w:themeFillTint="66"/>
          </w:tcPr>
          <w:p w:rsidR="005C3495" w:rsidRDefault="00D963A0" w:rsidP="00D963A0">
            <w:pPr>
              <w:jc w:val="center"/>
            </w:pPr>
            <w:r w:rsidRPr="005C3495">
              <w:t>Índice</w:t>
            </w:r>
            <w:r w:rsidR="005C3495" w:rsidRPr="005C3495">
              <w:t xml:space="preserve"> de rotación de cartera</w:t>
            </w:r>
          </w:p>
        </w:tc>
      </w:tr>
      <w:tr w:rsidR="005C3495" w:rsidTr="005C3495">
        <w:tc>
          <w:tcPr>
            <w:tcW w:w="2992" w:type="dxa"/>
            <w:vMerge/>
            <w:shd w:val="clear" w:color="auto" w:fill="FBD4B4" w:themeFill="accent6" w:themeFillTint="66"/>
          </w:tcPr>
          <w:p w:rsidR="005C3495" w:rsidRDefault="005C3495" w:rsidP="00D963A0">
            <w:pPr>
              <w:jc w:val="center"/>
            </w:pPr>
          </w:p>
        </w:tc>
        <w:tc>
          <w:tcPr>
            <w:tcW w:w="1794" w:type="dxa"/>
            <w:shd w:val="clear" w:color="auto" w:fill="FBD4B4" w:themeFill="accent6" w:themeFillTint="66"/>
          </w:tcPr>
          <w:p w:rsidR="005C3495" w:rsidRDefault="005C3495" w:rsidP="00D963A0">
            <w:pPr>
              <w:jc w:val="center"/>
            </w:pPr>
            <w:r>
              <w:t>cpc2_plaz</w:t>
            </w:r>
          </w:p>
        </w:tc>
        <w:tc>
          <w:tcPr>
            <w:tcW w:w="4192" w:type="dxa"/>
            <w:shd w:val="clear" w:color="auto" w:fill="FBD4B4" w:themeFill="accent6" w:themeFillTint="66"/>
          </w:tcPr>
          <w:p w:rsidR="005C3495" w:rsidRDefault="005C3495" w:rsidP="00D963A0">
            <w:pPr>
              <w:jc w:val="center"/>
            </w:pPr>
            <w:r w:rsidRPr="005C3495">
              <w:t>Plazo promedio de cobro</w:t>
            </w:r>
          </w:p>
        </w:tc>
      </w:tr>
      <w:tr w:rsidR="005C3495" w:rsidTr="005C3495">
        <w:tc>
          <w:tcPr>
            <w:tcW w:w="2992" w:type="dxa"/>
            <w:vMerge/>
            <w:shd w:val="clear" w:color="auto" w:fill="FBD4B4" w:themeFill="accent6" w:themeFillTint="66"/>
          </w:tcPr>
          <w:p w:rsidR="005C3495" w:rsidRDefault="005C3495" w:rsidP="00D963A0">
            <w:pPr>
              <w:jc w:val="center"/>
            </w:pPr>
          </w:p>
        </w:tc>
        <w:tc>
          <w:tcPr>
            <w:tcW w:w="1794" w:type="dxa"/>
            <w:shd w:val="clear" w:color="auto" w:fill="FBD4B4" w:themeFill="accent6" w:themeFillTint="66"/>
          </w:tcPr>
          <w:p w:rsidR="005C3495" w:rsidRDefault="005C3495" w:rsidP="00D963A0">
            <w:pPr>
              <w:jc w:val="center"/>
            </w:pPr>
            <w:r>
              <w:t>cpc3_cart</w:t>
            </w:r>
          </w:p>
        </w:tc>
        <w:tc>
          <w:tcPr>
            <w:tcW w:w="4192" w:type="dxa"/>
            <w:shd w:val="clear" w:color="auto" w:fill="FBD4B4" w:themeFill="accent6" w:themeFillTint="66"/>
          </w:tcPr>
          <w:p w:rsidR="005C3495" w:rsidRDefault="005C3495" w:rsidP="00D963A0">
            <w:pPr>
              <w:jc w:val="center"/>
            </w:pPr>
            <w:r w:rsidRPr="005C3495">
              <w:t>Cartera vencida a + de 120 días</w:t>
            </w:r>
          </w:p>
        </w:tc>
      </w:tr>
      <w:tr w:rsidR="0014675C" w:rsidTr="00D963A0">
        <w:tc>
          <w:tcPr>
            <w:tcW w:w="2992" w:type="dxa"/>
            <w:vMerge w:val="restart"/>
            <w:shd w:val="clear" w:color="auto" w:fill="B6DDE8" w:themeFill="accent5" w:themeFillTint="66"/>
            <w:vAlign w:val="center"/>
          </w:tcPr>
          <w:p w:rsidR="0014675C" w:rsidRDefault="0014675C" w:rsidP="00D963A0">
            <w:pPr>
              <w:jc w:val="center"/>
            </w:pPr>
            <w:bookmarkStart w:id="0" w:name="_GoBack"/>
            <w:r>
              <w:t>CEDI</w:t>
            </w:r>
          </w:p>
        </w:tc>
        <w:tc>
          <w:tcPr>
            <w:tcW w:w="1794" w:type="dxa"/>
            <w:shd w:val="clear" w:color="auto" w:fill="B6DDE8" w:themeFill="accent5" w:themeFillTint="66"/>
          </w:tcPr>
          <w:p w:rsidR="0014675C" w:rsidRDefault="0014675C" w:rsidP="00D963A0">
            <w:pPr>
              <w:jc w:val="center"/>
            </w:pPr>
            <w:r>
              <w:t>ced1_rot</w:t>
            </w:r>
          </w:p>
        </w:tc>
        <w:tc>
          <w:tcPr>
            <w:tcW w:w="4192" w:type="dxa"/>
            <w:shd w:val="clear" w:color="auto" w:fill="B6DDE8" w:themeFill="accent5" w:themeFillTint="66"/>
          </w:tcPr>
          <w:p w:rsidR="0014675C" w:rsidRDefault="0014675C" w:rsidP="00D963A0">
            <w:pPr>
              <w:jc w:val="center"/>
            </w:pPr>
            <w:r w:rsidRPr="0014675C">
              <w:t>Rotación de inventarios</w:t>
            </w:r>
          </w:p>
        </w:tc>
      </w:tr>
      <w:bookmarkEnd w:id="0"/>
      <w:tr w:rsidR="0014675C" w:rsidTr="00D963A0">
        <w:tc>
          <w:tcPr>
            <w:tcW w:w="2992" w:type="dxa"/>
            <w:vMerge/>
            <w:shd w:val="clear" w:color="auto" w:fill="B6DDE8" w:themeFill="accent5" w:themeFillTint="66"/>
          </w:tcPr>
          <w:p w:rsidR="0014675C" w:rsidRDefault="0014675C" w:rsidP="00D963A0">
            <w:pPr>
              <w:jc w:val="center"/>
            </w:pPr>
          </w:p>
        </w:tc>
        <w:tc>
          <w:tcPr>
            <w:tcW w:w="1794" w:type="dxa"/>
            <w:shd w:val="clear" w:color="auto" w:fill="B6DDE8" w:themeFill="accent5" w:themeFillTint="66"/>
          </w:tcPr>
          <w:p w:rsidR="0014675C" w:rsidRDefault="0014675C" w:rsidP="00D963A0">
            <w:pPr>
              <w:jc w:val="center"/>
            </w:pPr>
            <w:r>
              <w:t>ced2_tiem</w:t>
            </w:r>
          </w:p>
        </w:tc>
        <w:tc>
          <w:tcPr>
            <w:tcW w:w="4192" w:type="dxa"/>
            <w:shd w:val="clear" w:color="auto" w:fill="B6DDE8" w:themeFill="accent5" w:themeFillTint="66"/>
          </w:tcPr>
          <w:p w:rsidR="0014675C" w:rsidRDefault="0014675C" w:rsidP="00D963A0">
            <w:pPr>
              <w:jc w:val="center"/>
            </w:pPr>
            <w:r w:rsidRPr="0014675C">
              <w:t>Tiempo de permanencia de inventarios</w:t>
            </w:r>
          </w:p>
        </w:tc>
      </w:tr>
      <w:tr w:rsidR="0014675C" w:rsidTr="00D963A0">
        <w:tc>
          <w:tcPr>
            <w:tcW w:w="2992" w:type="dxa"/>
            <w:vMerge/>
            <w:shd w:val="clear" w:color="auto" w:fill="B6DDE8" w:themeFill="accent5" w:themeFillTint="66"/>
          </w:tcPr>
          <w:p w:rsidR="0014675C" w:rsidRDefault="0014675C" w:rsidP="00D963A0">
            <w:pPr>
              <w:jc w:val="center"/>
            </w:pPr>
          </w:p>
        </w:tc>
        <w:tc>
          <w:tcPr>
            <w:tcW w:w="1794" w:type="dxa"/>
            <w:shd w:val="clear" w:color="auto" w:fill="B6DDE8" w:themeFill="accent5" w:themeFillTint="66"/>
          </w:tcPr>
          <w:p w:rsidR="0014675C" w:rsidRDefault="0014675C" w:rsidP="00D963A0">
            <w:pPr>
              <w:jc w:val="center"/>
            </w:pPr>
            <w:r>
              <w:t>ced3_cicl</w:t>
            </w:r>
          </w:p>
        </w:tc>
        <w:tc>
          <w:tcPr>
            <w:tcW w:w="4192" w:type="dxa"/>
            <w:shd w:val="clear" w:color="auto" w:fill="B6DDE8" w:themeFill="accent5" w:themeFillTint="66"/>
          </w:tcPr>
          <w:p w:rsidR="0014675C" w:rsidRDefault="0014675C" w:rsidP="00D963A0">
            <w:pPr>
              <w:jc w:val="center"/>
            </w:pPr>
            <w:r w:rsidRPr="0014675C">
              <w:t>Ciclo operaciona</w:t>
            </w:r>
            <w:r w:rsidR="00D963A0">
              <w:t>l</w:t>
            </w:r>
          </w:p>
        </w:tc>
      </w:tr>
      <w:tr w:rsidR="00D963A0" w:rsidTr="009D50F7">
        <w:tc>
          <w:tcPr>
            <w:tcW w:w="2992" w:type="dxa"/>
            <w:vMerge w:val="restart"/>
            <w:shd w:val="clear" w:color="auto" w:fill="D9D9D9" w:themeFill="background1" w:themeFillShade="D9"/>
            <w:vAlign w:val="center"/>
          </w:tcPr>
          <w:p w:rsidR="00D963A0" w:rsidRDefault="009D50F7" w:rsidP="009D50F7">
            <w:pPr>
              <w:jc w:val="center"/>
            </w:pPr>
            <w:r>
              <w:t>Gestión de personal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:rsidR="00D963A0" w:rsidRDefault="00D963A0" w:rsidP="00D963A0">
            <w:pPr>
              <w:jc w:val="center"/>
            </w:pPr>
            <w:r>
              <w:t>gest1_</w:t>
            </w:r>
            <w:r w:rsidR="009D50F7">
              <w:t>tiem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:rsidR="00D963A0" w:rsidRDefault="009D50F7" w:rsidP="00D963A0">
            <w:pPr>
              <w:jc w:val="center"/>
            </w:pPr>
            <w:r w:rsidRPr="009D50F7">
              <w:t>Tiempo extra</w:t>
            </w:r>
          </w:p>
        </w:tc>
      </w:tr>
      <w:tr w:rsidR="00D963A0" w:rsidTr="009D50F7">
        <w:tc>
          <w:tcPr>
            <w:tcW w:w="2992" w:type="dxa"/>
            <w:vMerge/>
            <w:shd w:val="clear" w:color="auto" w:fill="D9D9D9" w:themeFill="background1" w:themeFillShade="D9"/>
          </w:tcPr>
          <w:p w:rsidR="00D963A0" w:rsidRDefault="00D963A0" w:rsidP="00D963A0">
            <w:pPr>
              <w:jc w:val="center"/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:rsidR="00D963A0" w:rsidRDefault="00D963A0" w:rsidP="00D963A0">
            <w:pPr>
              <w:jc w:val="center"/>
            </w:pPr>
            <w:r>
              <w:t>gest2_</w:t>
            </w:r>
            <w:r w:rsidR="009D50F7">
              <w:t>aus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:rsidR="00D963A0" w:rsidRDefault="009D50F7" w:rsidP="00D963A0">
            <w:pPr>
              <w:jc w:val="center"/>
            </w:pPr>
            <w:r w:rsidRPr="009D50F7">
              <w:t>Ausentismo</w:t>
            </w:r>
          </w:p>
        </w:tc>
      </w:tr>
      <w:tr w:rsidR="00D963A0" w:rsidTr="009D50F7">
        <w:tc>
          <w:tcPr>
            <w:tcW w:w="2992" w:type="dxa"/>
            <w:vMerge/>
            <w:shd w:val="clear" w:color="auto" w:fill="D9D9D9" w:themeFill="background1" w:themeFillShade="D9"/>
          </w:tcPr>
          <w:p w:rsidR="00D963A0" w:rsidRDefault="00D963A0" w:rsidP="00D963A0">
            <w:pPr>
              <w:jc w:val="center"/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:rsidR="00D963A0" w:rsidRDefault="00D963A0" w:rsidP="00D963A0">
            <w:pPr>
              <w:jc w:val="center"/>
            </w:pPr>
            <w:r>
              <w:t>gest3_</w:t>
            </w:r>
            <w:r w:rsidR="009D50F7">
              <w:t>rot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:rsidR="00D963A0" w:rsidRDefault="009D50F7" w:rsidP="00D963A0">
            <w:pPr>
              <w:jc w:val="center"/>
            </w:pPr>
            <w:r w:rsidRPr="009D50F7">
              <w:t>Rotación de personal</w:t>
            </w:r>
          </w:p>
        </w:tc>
      </w:tr>
      <w:tr w:rsidR="00D963A0" w:rsidTr="009D50F7">
        <w:tc>
          <w:tcPr>
            <w:tcW w:w="2992" w:type="dxa"/>
            <w:vMerge/>
            <w:shd w:val="clear" w:color="auto" w:fill="D9D9D9" w:themeFill="background1" w:themeFillShade="D9"/>
          </w:tcPr>
          <w:p w:rsidR="00D963A0" w:rsidRDefault="00D963A0" w:rsidP="00D963A0">
            <w:pPr>
              <w:jc w:val="center"/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:rsidR="00D963A0" w:rsidRDefault="00D963A0" w:rsidP="00D963A0">
            <w:pPr>
              <w:jc w:val="center"/>
            </w:pPr>
            <w:r>
              <w:t>gest4_</w:t>
            </w:r>
            <w:r w:rsidR="009D50F7">
              <w:t>hor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:rsidR="00D963A0" w:rsidRDefault="009D50F7" w:rsidP="00D963A0">
            <w:pPr>
              <w:jc w:val="center"/>
            </w:pPr>
            <w:r w:rsidRPr="009D50F7">
              <w:t>Horas de capacitación</w:t>
            </w:r>
          </w:p>
        </w:tc>
      </w:tr>
      <w:tr w:rsidR="00D963A0" w:rsidTr="009D50F7">
        <w:tc>
          <w:tcPr>
            <w:tcW w:w="2992" w:type="dxa"/>
            <w:vMerge/>
            <w:shd w:val="clear" w:color="auto" w:fill="D9D9D9" w:themeFill="background1" w:themeFillShade="D9"/>
          </w:tcPr>
          <w:p w:rsidR="00D963A0" w:rsidRDefault="00D963A0" w:rsidP="00D963A0">
            <w:pPr>
              <w:jc w:val="center"/>
            </w:pPr>
          </w:p>
        </w:tc>
        <w:tc>
          <w:tcPr>
            <w:tcW w:w="1794" w:type="dxa"/>
            <w:shd w:val="clear" w:color="auto" w:fill="D9D9D9" w:themeFill="background1" w:themeFillShade="D9"/>
          </w:tcPr>
          <w:p w:rsidR="00D963A0" w:rsidRDefault="00D963A0" w:rsidP="00D963A0">
            <w:pPr>
              <w:jc w:val="center"/>
            </w:pPr>
            <w:r>
              <w:t>gest5_</w:t>
            </w:r>
            <w:r w:rsidR="009D50F7">
              <w:t>gas</w:t>
            </w:r>
          </w:p>
        </w:tc>
        <w:tc>
          <w:tcPr>
            <w:tcW w:w="4192" w:type="dxa"/>
            <w:shd w:val="clear" w:color="auto" w:fill="D9D9D9" w:themeFill="background1" w:themeFillShade="D9"/>
          </w:tcPr>
          <w:p w:rsidR="00D963A0" w:rsidRDefault="009D50F7" w:rsidP="00D963A0">
            <w:pPr>
              <w:jc w:val="center"/>
            </w:pPr>
            <w:r w:rsidRPr="009D50F7">
              <w:t>Gastos de capacitación</w:t>
            </w:r>
          </w:p>
        </w:tc>
      </w:tr>
      <w:tr w:rsidR="00775794" w:rsidTr="00F62300">
        <w:tc>
          <w:tcPr>
            <w:tcW w:w="2992" w:type="dxa"/>
            <w:vMerge w:val="restart"/>
            <w:shd w:val="clear" w:color="auto" w:fill="C4BC96" w:themeFill="background2" w:themeFillShade="BF"/>
            <w:vAlign w:val="center"/>
          </w:tcPr>
          <w:p w:rsidR="00775794" w:rsidRDefault="00775794" w:rsidP="00775794">
            <w:pPr>
              <w:jc w:val="center"/>
            </w:pPr>
            <w:r>
              <w:t>Seguridad industrial</w:t>
            </w:r>
          </w:p>
        </w:tc>
        <w:tc>
          <w:tcPr>
            <w:tcW w:w="1794" w:type="dxa"/>
            <w:shd w:val="clear" w:color="auto" w:fill="C4BC96" w:themeFill="background2" w:themeFillShade="BF"/>
          </w:tcPr>
          <w:p w:rsidR="00775794" w:rsidRDefault="00775794" w:rsidP="00D963A0">
            <w:pPr>
              <w:jc w:val="center"/>
            </w:pPr>
            <w:r>
              <w:t>seg1_ries</w:t>
            </w:r>
          </w:p>
        </w:tc>
        <w:tc>
          <w:tcPr>
            <w:tcW w:w="4192" w:type="dxa"/>
            <w:shd w:val="clear" w:color="auto" w:fill="C4BC96" w:themeFill="background2" w:themeFillShade="BF"/>
          </w:tcPr>
          <w:p w:rsidR="00775794" w:rsidRDefault="00775794" w:rsidP="00D963A0">
            <w:pPr>
              <w:jc w:val="center"/>
            </w:pPr>
            <w:r w:rsidRPr="00775794">
              <w:t>Índice de riesgo</w:t>
            </w:r>
          </w:p>
        </w:tc>
      </w:tr>
      <w:tr w:rsidR="00775794" w:rsidTr="00F62300">
        <w:tc>
          <w:tcPr>
            <w:tcW w:w="2992" w:type="dxa"/>
            <w:vMerge/>
            <w:shd w:val="clear" w:color="auto" w:fill="C4BC96" w:themeFill="background2" w:themeFillShade="BF"/>
          </w:tcPr>
          <w:p w:rsidR="00775794" w:rsidRDefault="00775794" w:rsidP="00D963A0">
            <w:pPr>
              <w:jc w:val="center"/>
            </w:pPr>
          </w:p>
        </w:tc>
        <w:tc>
          <w:tcPr>
            <w:tcW w:w="1794" w:type="dxa"/>
            <w:shd w:val="clear" w:color="auto" w:fill="C4BC96" w:themeFill="background2" w:themeFillShade="BF"/>
          </w:tcPr>
          <w:p w:rsidR="00775794" w:rsidRDefault="00775794" w:rsidP="00D963A0">
            <w:pPr>
              <w:jc w:val="center"/>
            </w:pPr>
            <w:r>
              <w:t>seg2_acci</w:t>
            </w:r>
          </w:p>
        </w:tc>
        <w:tc>
          <w:tcPr>
            <w:tcW w:w="4192" w:type="dxa"/>
            <w:shd w:val="clear" w:color="auto" w:fill="C4BC96" w:themeFill="background2" w:themeFillShade="BF"/>
          </w:tcPr>
          <w:p w:rsidR="00775794" w:rsidRDefault="00775794" w:rsidP="00D963A0">
            <w:pPr>
              <w:jc w:val="center"/>
            </w:pPr>
            <w:r w:rsidRPr="00775794">
              <w:t>Índice de accidentabilidad</w:t>
            </w:r>
          </w:p>
        </w:tc>
      </w:tr>
      <w:tr w:rsidR="00775794" w:rsidTr="00F62300">
        <w:tc>
          <w:tcPr>
            <w:tcW w:w="2992" w:type="dxa"/>
            <w:vMerge/>
            <w:shd w:val="clear" w:color="auto" w:fill="C4BC96" w:themeFill="background2" w:themeFillShade="BF"/>
          </w:tcPr>
          <w:p w:rsidR="00775794" w:rsidRDefault="00775794" w:rsidP="00D963A0">
            <w:pPr>
              <w:jc w:val="center"/>
            </w:pPr>
          </w:p>
        </w:tc>
        <w:tc>
          <w:tcPr>
            <w:tcW w:w="1794" w:type="dxa"/>
            <w:shd w:val="clear" w:color="auto" w:fill="C4BC96" w:themeFill="background2" w:themeFillShade="BF"/>
          </w:tcPr>
          <w:p w:rsidR="00775794" w:rsidRDefault="00775794" w:rsidP="00D963A0">
            <w:pPr>
              <w:jc w:val="center"/>
            </w:pPr>
            <w:r>
              <w:t>seg3_prim</w:t>
            </w:r>
          </w:p>
        </w:tc>
        <w:tc>
          <w:tcPr>
            <w:tcW w:w="4192" w:type="dxa"/>
            <w:shd w:val="clear" w:color="auto" w:fill="C4BC96" w:themeFill="background2" w:themeFillShade="BF"/>
          </w:tcPr>
          <w:p w:rsidR="00775794" w:rsidRDefault="00775794" w:rsidP="00D963A0">
            <w:pPr>
              <w:jc w:val="center"/>
            </w:pPr>
            <w:r w:rsidRPr="00775794">
              <w:t>Prima de riesgo</w:t>
            </w:r>
          </w:p>
        </w:tc>
      </w:tr>
      <w:tr w:rsidR="00D963A0" w:rsidTr="003B0C60">
        <w:tc>
          <w:tcPr>
            <w:tcW w:w="2992" w:type="dxa"/>
            <w:shd w:val="clear" w:color="auto" w:fill="FFFF00"/>
          </w:tcPr>
          <w:p w:rsidR="00D963A0" w:rsidRDefault="001C26AC" w:rsidP="00D963A0">
            <w:pPr>
              <w:jc w:val="center"/>
            </w:pPr>
            <w:r>
              <w:t>Compras</w:t>
            </w:r>
          </w:p>
        </w:tc>
        <w:tc>
          <w:tcPr>
            <w:tcW w:w="1794" w:type="dxa"/>
            <w:shd w:val="clear" w:color="auto" w:fill="FFFF00"/>
          </w:tcPr>
          <w:p w:rsidR="00D963A0" w:rsidRDefault="00447F88" w:rsidP="00D963A0">
            <w:pPr>
              <w:jc w:val="center"/>
            </w:pPr>
            <w:r>
              <w:t>com1_efic</w:t>
            </w:r>
          </w:p>
        </w:tc>
        <w:tc>
          <w:tcPr>
            <w:tcW w:w="4192" w:type="dxa"/>
            <w:shd w:val="clear" w:color="auto" w:fill="FFFF00"/>
          </w:tcPr>
          <w:p w:rsidR="00D963A0" w:rsidRDefault="00447F88" w:rsidP="00D963A0">
            <w:pPr>
              <w:jc w:val="center"/>
            </w:pPr>
            <w:r w:rsidRPr="00447F88">
              <w:t>Eficiencia de Compras</w:t>
            </w:r>
          </w:p>
        </w:tc>
      </w:tr>
      <w:tr w:rsidR="00D963A0" w:rsidTr="003B0C60">
        <w:tc>
          <w:tcPr>
            <w:tcW w:w="2992" w:type="dxa"/>
            <w:shd w:val="clear" w:color="auto" w:fill="D99594" w:themeFill="accent2" w:themeFillTint="99"/>
          </w:tcPr>
          <w:p w:rsidR="00D963A0" w:rsidRDefault="001C26AC" w:rsidP="00D963A0">
            <w:pPr>
              <w:jc w:val="center"/>
            </w:pPr>
            <w:r>
              <w:t>Sistemas</w:t>
            </w:r>
          </w:p>
        </w:tc>
        <w:tc>
          <w:tcPr>
            <w:tcW w:w="1794" w:type="dxa"/>
            <w:shd w:val="clear" w:color="auto" w:fill="D99594" w:themeFill="accent2" w:themeFillTint="99"/>
          </w:tcPr>
          <w:p w:rsidR="00D963A0" w:rsidRDefault="00447F88" w:rsidP="00D963A0">
            <w:pPr>
              <w:jc w:val="center"/>
            </w:pPr>
            <w:r>
              <w:t>sis1_efic</w:t>
            </w:r>
          </w:p>
        </w:tc>
        <w:tc>
          <w:tcPr>
            <w:tcW w:w="4192" w:type="dxa"/>
            <w:shd w:val="clear" w:color="auto" w:fill="D99594" w:themeFill="accent2" w:themeFillTint="99"/>
          </w:tcPr>
          <w:p w:rsidR="00D963A0" w:rsidRDefault="00447F88" w:rsidP="00447F88">
            <w:pPr>
              <w:jc w:val="center"/>
            </w:pPr>
            <w:r>
              <w:t>Eficiencia de Sistemas</w:t>
            </w:r>
          </w:p>
        </w:tc>
      </w:tr>
      <w:tr w:rsidR="00430C40" w:rsidTr="00266266">
        <w:tc>
          <w:tcPr>
            <w:tcW w:w="2992" w:type="dxa"/>
            <w:vMerge w:val="restart"/>
            <w:shd w:val="clear" w:color="auto" w:fill="92CDDC" w:themeFill="accent5" w:themeFillTint="99"/>
            <w:vAlign w:val="center"/>
          </w:tcPr>
          <w:p w:rsidR="00430C40" w:rsidRDefault="00266266" w:rsidP="009A053D">
            <w:pPr>
              <w:jc w:val="center"/>
            </w:pPr>
            <w:r>
              <w:t>Administración</w:t>
            </w:r>
          </w:p>
        </w:tc>
        <w:tc>
          <w:tcPr>
            <w:tcW w:w="1794" w:type="dxa"/>
            <w:shd w:val="clear" w:color="auto" w:fill="92CDDC" w:themeFill="accent5" w:themeFillTint="99"/>
          </w:tcPr>
          <w:p w:rsidR="00430C40" w:rsidRDefault="009A053D" w:rsidP="00D963A0">
            <w:pPr>
              <w:jc w:val="center"/>
            </w:pPr>
            <w:r>
              <w:t>adm1_end</w:t>
            </w:r>
          </w:p>
        </w:tc>
        <w:tc>
          <w:tcPr>
            <w:tcW w:w="4192" w:type="dxa"/>
            <w:shd w:val="clear" w:color="auto" w:fill="92CDDC" w:themeFill="accent5" w:themeFillTint="99"/>
          </w:tcPr>
          <w:p w:rsidR="00430C40" w:rsidRDefault="009A053D" w:rsidP="00D963A0">
            <w:pPr>
              <w:jc w:val="center"/>
            </w:pPr>
            <w:r w:rsidRPr="009A053D">
              <w:t>Endeudamiento</w:t>
            </w:r>
          </w:p>
        </w:tc>
      </w:tr>
      <w:tr w:rsidR="00430C40" w:rsidTr="00266266">
        <w:tc>
          <w:tcPr>
            <w:tcW w:w="2992" w:type="dxa"/>
            <w:vMerge/>
            <w:shd w:val="clear" w:color="auto" w:fill="92CDDC" w:themeFill="accent5" w:themeFillTint="99"/>
          </w:tcPr>
          <w:p w:rsidR="00430C40" w:rsidRDefault="00430C40" w:rsidP="00D963A0">
            <w:pPr>
              <w:jc w:val="center"/>
            </w:pPr>
          </w:p>
        </w:tc>
        <w:tc>
          <w:tcPr>
            <w:tcW w:w="1794" w:type="dxa"/>
            <w:shd w:val="clear" w:color="auto" w:fill="92CDDC" w:themeFill="accent5" w:themeFillTint="99"/>
          </w:tcPr>
          <w:p w:rsidR="00430C40" w:rsidRDefault="009A053D" w:rsidP="00D963A0">
            <w:pPr>
              <w:jc w:val="center"/>
            </w:pPr>
            <w:r>
              <w:t>adm2_liq</w:t>
            </w:r>
          </w:p>
        </w:tc>
        <w:tc>
          <w:tcPr>
            <w:tcW w:w="4192" w:type="dxa"/>
            <w:shd w:val="clear" w:color="auto" w:fill="92CDDC" w:themeFill="accent5" w:themeFillTint="99"/>
          </w:tcPr>
          <w:p w:rsidR="00430C40" w:rsidRDefault="009A053D" w:rsidP="00D963A0">
            <w:pPr>
              <w:jc w:val="center"/>
            </w:pPr>
            <w:r w:rsidRPr="009A053D">
              <w:t>Liquidez</w:t>
            </w:r>
          </w:p>
        </w:tc>
      </w:tr>
      <w:tr w:rsidR="00430C40" w:rsidTr="00266266">
        <w:tc>
          <w:tcPr>
            <w:tcW w:w="2992" w:type="dxa"/>
            <w:vMerge/>
            <w:shd w:val="clear" w:color="auto" w:fill="92CDDC" w:themeFill="accent5" w:themeFillTint="99"/>
          </w:tcPr>
          <w:p w:rsidR="00430C40" w:rsidRDefault="00430C40" w:rsidP="00D963A0">
            <w:pPr>
              <w:jc w:val="center"/>
            </w:pPr>
          </w:p>
        </w:tc>
        <w:tc>
          <w:tcPr>
            <w:tcW w:w="1794" w:type="dxa"/>
            <w:shd w:val="clear" w:color="auto" w:fill="92CDDC" w:themeFill="accent5" w:themeFillTint="99"/>
          </w:tcPr>
          <w:p w:rsidR="00430C40" w:rsidRDefault="009A053D" w:rsidP="00D963A0">
            <w:pPr>
              <w:jc w:val="center"/>
            </w:pPr>
            <w:r>
              <w:t>adm3_rent</w:t>
            </w:r>
          </w:p>
        </w:tc>
        <w:tc>
          <w:tcPr>
            <w:tcW w:w="4192" w:type="dxa"/>
            <w:shd w:val="clear" w:color="auto" w:fill="92CDDC" w:themeFill="accent5" w:themeFillTint="99"/>
          </w:tcPr>
          <w:p w:rsidR="00430C40" w:rsidRDefault="009A053D" w:rsidP="00D963A0">
            <w:pPr>
              <w:jc w:val="center"/>
            </w:pPr>
            <w:r w:rsidRPr="009A053D">
              <w:t>Rentabilidad</w:t>
            </w:r>
          </w:p>
        </w:tc>
      </w:tr>
      <w:tr w:rsidR="00430C40" w:rsidTr="00266266">
        <w:tc>
          <w:tcPr>
            <w:tcW w:w="2992" w:type="dxa"/>
            <w:vMerge/>
            <w:shd w:val="clear" w:color="auto" w:fill="92CDDC" w:themeFill="accent5" w:themeFillTint="99"/>
          </w:tcPr>
          <w:p w:rsidR="00430C40" w:rsidRDefault="00430C40" w:rsidP="00D963A0">
            <w:pPr>
              <w:jc w:val="center"/>
            </w:pPr>
          </w:p>
        </w:tc>
        <w:tc>
          <w:tcPr>
            <w:tcW w:w="1794" w:type="dxa"/>
            <w:shd w:val="clear" w:color="auto" w:fill="92CDDC" w:themeFill="accent5" w:themeFillTint="99"/>
          </w:tcPr>
          <w:p w:rsidR="00430C40" w:rsidRDefault="009A053D" w:rsidP="00D963A0">
            <w:pPr>
              <w:jc w:val="center"/>
            </w:pPr>
            <w:r>
              <w:t>adm4_cap</w:t>
            </w:r>
          </w:p>
        </w:tc>
        <w:tc>
          <w:tcPr>
            <w:tcW w:w="4192" w:type="dxa"/>
            <w:shd w:val="clear" w:color="auto" w:fill="92CDDC" w:themeFill="accent5" w:themeFillTint="99"/>
          </w:tcPr>
          <w:p w:rsidR="00430C40" w:rsidRDefault="009A053D" w:rsidP="00D963A0">
            <w:pPr>
              <w:jc w:val="center"/>
            </w:pPr>
            <w:r w:rsidRPr="009A053D">
              <w:t>Capital de trabajo</w:t>
            </w:r>
          </w:p>
        </w:tc>
      </w:tr>
      <w:tr w:rsidR="00D963A0" w:rsidTr="00FD722A">
        <w:tc>
          <w:tcPr>
            <w:tcW w:w="2992" w:type="dxa"/>
          </w:tcPr>
          <w:p w:rsidR="00D963A0" w:rsidRDefault="00BF5E56" w:rsidP="00D963A0">
            <w:pPr>
              <w:jc w:val="center"/>
            </w:pPr>
            <w:r>
              <w:t>Impuestos</w:t>
            </w:r>
          </w:p>
        </w:tc>
        <w:tc>
          <w:tcPr>
            <w:tcW w:w="1794" w:type="dxa"/>
          </w:tcPr>
          <w:p w:rsidR="00D963A0" w:rsidRDefault="00BF5E56" w:rsidP="00D963A0">
            <w:pPr>
              <w:jc w:val="center"/>
            </w:pPr>
            <w:r>
              <w:t>impuest1</w:t>
            </w:r>
          </w:p>
        </w:tc>
        <w:tc>
          <w:tcPr>
            <w:tcW w:w="4192" w:type="dxa"/>
          </w:tcPr>
          <w:p w:rsidR="00D963A0" w:rsidRDefault="00BF5E56" w:rsidP="00D963A0">
            <w:pPr>
              <w:jc w:val="center"/>
            </w:pPr>
            <w:r>
              <w:t>Impuestos</w:t>
            </w:r>
          </w:p>
        </w:tc>
      </w:tr>
      <w:tr w:rsidR="00D963A0" w:rsidTr="00256E4D">
        <w:tc>
          <w:tcPr>
            <w:tcW w:w="2992" w:type="dxa"/>
            <w:shd w:val="clear" w:color="auto" w:fill="DDD9C3" w:themeFill="background2" w:themeFillShade="E6"/>
          </w:tcPr>
          <w:p w:rsidR="00D963A0" w:rsidRDefault="00BF5E56" w:rsidP="00D963A0">
            <w:pPr>
              <w:jc w:val="center"/>
            </w:pPr>
            <w:proofErr w:type="spellStart"/>
            <w:r>
              <w:t>Tesoreria</w:t>
            </w:r>
            <w:proofErr w:type="spellEnd"/>
          </w:p>
        </w:tc>
        <w:tc>
          <w:tcPr>
            <w:tcW w:w="1794" w:type="dxa"/>
            <w:shd w:val="clear" w:color="auto" w:fill="DDD9C3" w:themeFill="background2" w:themeFillShade="E6"/>
          </w:tcPr>
          <w:p w:rsidR="00D963A0" w:rsidRDefault="00BF5E56" w:rsidP="00D963A0">
            <w:pPr>
              <w:jc w:val="center"/>
            </w:pPr>
            <w:r>
              <w:t>tesorer1</w:t>
            </w:r>
          </w:p>
        </w:tc>
        <w:tc>
          <w:tcPr>
            <w:tcW w:w="4192" w:type="dxa"/>
            <w:shd w:val="clear" w:color="auto" w:fill="DDD9C3" w:themeFill="background2" w:themeFillShade="E6"/>
          </w:tcPr>
          <w:p w:rsidR="00D963A0" w:rsidRDefault="00BF5E56" w:rsidP="00D963A0">
            <w:pPr>
              <w:jc w:val="center"/>
            </w:pPr>
            <w:proofErr w:type="spellStart"/>
            <w:r>
              <w:t>Tesoreria</w:t>
            </w:r>
            <w:proofErr w:type="spellEnd"/>
          </w:p>
        </w:tc>
      </w:tr>
    </w:tbl>
    <w:p w:rsidR="00600AC6" w:rsidRDefault="00600AC6" w:rsidP="00D963A0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0F7FDC" w:rsidTr="00CB5A88">
        <w:tc>
          <w:tcPr>
            <w:tcW w:w="8978" w:type="dxa"/>
            <w:gridSpan w:val="5"/>
            <w:shd w:val="clear" w:color="auto" w:fill="D9D9D9" w:themeFill="background1" w:themeFillShade="D9"/>
          </w:tcPr>
          <w:p w:rsidR="000F7FDC" w:rsidRPr="00CB5A88" w:rsidRDefault="000F7FDC" w:rsidP="00D963A0">
            <w:pPr>
              <w:jc w:val="center"/>
              <w:rPr>
                <w:b/>
                <w:sz w:val="40"/>
                <w:szCs w:val="40"/>
              </w:rPr>
            </w:pPr>
            <w:r w:rsidRPr="00CB5A88">
              <w:rPr>
                <w:b/>
                <w:sz w:val="40"/>
                <w:szCs w:val="40"/>
              </w:rPr>
              <w:t>Campos de Cada Tabla</w:t>
            </w:r>
          </w:p>
        </w:tc>
      </w:tr>
      <w:tr w:rsidR="000F7FDC" w:rsidTr="00CB5A88">
        <w:tc>
          <w:tcPr>
            <w:tcW w:w="1795" w:type="dxa"/>
            <w:shd w:val="clear" w:color="auto" w:fill="DDD9C3" w:themeFill="background2" w:themeFillShade="E6"/>
          </w:tcPr>
          <w:p w:rsidR="000F7FDC" w:rsidRPr="00CB5A88" w:rsidRDefault="000F7FDC" w:rsidP="00D963A0">
            <w:pPr>
              <w:jc w:val="center"/>
              <w:rPr>
                <w:color w:val="EEECE1" w:themeColor="background2"/>
              </w:rPr>
            </w:pPr>
            <w:r>
              <w:t>id</w:t>
            </w:r>
          </w:p>
        </w:tc>
        <w:tc>
          <w:tcPr>
            <w:tcW w:w="1795" w:type="dxa"/>
            <w:shd w:val="clear" w:color="auto" w:fill="B8CCE4" w:themeFill="accent1" w:themeFillTint="66"/>
          </w:tcPr>
          <w:p w:rsidR="000F7FDC" w:rsidRDefault="000F7FDC" w:rsidP="00D963A0">
            <w:pPr>
              <w:jc w:val="center"/>
            </w:pPr>
            <w:proofErr w:type="spellStart"/>
            <w:r>
              <w:t>idmes</w:t>
            </w:r>
            <w:proofErr w:type="spellEnd"/>
          </w:p>
        </w:tc>
        <w:tc>
          <w:tcPr>
            <w:tcW w:w="1796" w:type="dxa"/>
            <w:shd w:val="clear" w:color="auto" w:fill="C2D69B" w:themeFill="accent3" w:themeFillTint="99"/>
          </w:tcPr>
          <w:p w:rsidR="000F7FDC" w:rsidRDefault="000F7FDC" w:rsidP="00D963A0">
            <w:pPr>
              <w:jc w:val="center"/>
            </w:pPr>
            <w:r>
              <w:t>objetivo</w:t>
            </w:r>
          </w:p>
        </w:tc>
        <w:tc>
          <w:tcPr>
            <w:tcW w:w="1796" w:type="dxa"/>
            <w:shd w:val="clear" w:color="auto" w:fill="E36C0A" w:themeFill="accent6" w:themeFillShade="BF"/>
          </w:tcPr>
          <w:p w:rsidR="000F7FDC" w:rsidRDefault="000F7FDC" w:rsidP="00D963A0">
            <w:pPr>
              <w:jc w:val="center"/>
            </w:pPr>
            <w:proofErr w:type="spellStart"/>
            <w:r>
              <w:t>reals</w:t>
            </w:r>
            <w:proofErr w:type="spellEnd"/>
          </w:p>
        </w:tc>
        <w:tc>
          <w:tcPr>
            <w:tcW w:w="1796" w:type="dxa"/>
            <w:shd w:val="clear" w:color="auto" w:fill="92CDDC" w:themeFill="accent5" w:themeFillTint="99"/>
          </w:tcPr>
          <w:p w:rsidR="000F7FDC" w:rsidRDefault="00EC1EB9" w:rsidP="00D963A0">
            <w:pPr>
              <w:jc w:val="center"/>
            </w:pPr>
            <w:r>
              <w:t>year1</w:t>
            </w:r>
          </w:p>
        </w:tc>
      </w:tr>
      <w:tr w:rsidR="00964A67" w:rsidTr="00CB5A88">
        <w:tc>
          <w:tcPr>
            <w:tcW w:w="1795" w:type="dxa"/>
            <w:shd w:val="clear" w:color="auto" w:fill="DDD9C3" w:themeFill="background2" w:themeFillShade="E6"/>
          </w:tcPr>
          <w:p w:rsidR="00964A67" w:rsidRDefault="00964A67" w:rsidP="00D963A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5" w:type="dxa"/>
            <w:shd w:val="clear" w:color="auto" w:fill="B8CCE4" w:themeFill="accent1" w:themeFillTint="66"/>
          </w:tcPr>
          <w:p w:rsidR="00964A67" w:rsidRDefault="00964A67" w:rsidP="00D963A0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96" w:type="dxa"/>
            <w:shd w:val="clear" w:color="auto" w:fill="C2D69B" w:themeFill="accent3" w:themeFillTint="99"/>
          </w:tcPr>
          <w:p w:rsidR="00964A67" w:rsidRDefault="00964A67" w:rsidP="00D963A0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796" w:type="dxa"/>
            <w:shd w:val="clear" w:color="auto" w:fill="E36C0A" w:themeFill="accent6" w:themeFillShade="BF"/>
          </w:tcPr>
          <w:p w:rsidR="00964A67" w:rsidRDefault="00964A67" w:rsidP="00D963A0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796" w:type="dxa"/>
            <w:shd w:val="clear" w:color="auto" w:fill="92CDDC" w:themeFill="accent5" w:themeFillTint="99"/>
          </w:tcPr>
          <w:p w:rsidR="00964A67" w:rsidRDefault="00964A67" w:rsidP="00D963A0">
            <w:pPr>
              <w:jc w:val="center"/>
            </w:pPr>
          </w:p>
        </w:tc>
      </w:tr>
    </w:tbl>
    <w:p w:rsidR="000F7FDC" w:rsidRDefault="000F7FDC" w:rsidP="00D963A0">
      <w:pPr>
        <w:jc w:val="center"/>
      </w:pPr>
    </w:p>
    <w:sectPr w:rsidR="000F7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A1"/>
    <w:rsid w:val="000B2356"/>
    <w:rsid w:val="000F7FDC"/>
    <w:rsid w:val="00117FA1"/>
    <w:rsid w:val="0014675C"/>
    <w:rsid w:val="001C26AC"/>
    <w:rsid w:val="00256E4D"/>
    <w:rsid w:val="00266266"/>
    <w:rsid w:val="003B0C60"/>
    <w:rsid w:val="003B7300"/>
    <w:rsid w:val="00430C40"/>
    <w:rsid w:val="00447F88"/>
    <w:rsid w:val="00524EAD"/>
    <w:rsid w:val="005C3495"/>
    <w:rsid w:val="005E236D"/>
    <w:rsid w:val="00600AC6"/>
    <w:rsid w:val="00695B51"/>
    <w:rsid w:val="0075422A"/>
    <w:rsid w:val="00775794"/>
    <w:rsid w:val="00964A67"/>
    <w:rsid w:val="009A053D"/>
    <w:rsid w:val="009D50F7"/>
    <w:rsid w:val="00BF5E56"/>
    <w:rsid w:val="00C50BF0"/>
    <w:rsid w:val="00CB5A88"/>
    <w:rsid w:val="00D963A0"/>
    <w:rsid w:val="00E00D3B"/>
    <w:rsid w:val="00E7412B"/>
    <w:rsid w:val="00EC1EB9"/>
    <w:rsid w:val="00F62300"/>
    <w:rsid w:val="00F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7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7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BFB56-F070-4FA9-BF8C-86970B6C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29</cp:revision>
  <dcterms:created xsi:type="dcterms:W3CDTF">2015-08-21T13:32:00Z</dcterms:created>
  <dcterms:modified xsi:type="dcterms:W3CDTF">2015-08-22T19:36:00Z</dcterms:modified>
</cp:coreProperties>
</file>