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B45" w:rsidRDefault="00F74AC1">
      <w:pPr>
        <w:spacing w:before="480" w:after="40"/>
        <w:jc w:val="center"/>
      </w:pPr>
      <w:r>
        <w:rPr>
          <w:b/>
          <w:sz w:val="32"/>
        </w:rPr>
        <w:t>UNIVERSIDAD TECNOLÓGICA NACIONAL</w:t>
      </w:r>
    </w:p>
    <w:p w:rsidR="00A46B45" w:rsidRDefault="00F74AC1">
      <w:pPr>
        <w:spacing w:after="40"/>
        <w:jc w:val="center"/>
      </w:pPr>
      <w:r>
        <w:rPr>
          <w:b/>
          <w:sz w:val="28"/>
        </w:rPr>
        <w:t>FACULTAD REGIONAL CÓRDOBA</w:t>
      </w:r>
    </w:p>
    <w:p w:rsidR="00A46B45" w:rsidRDefault="00F74AC1">
      <w:pPr>
        <w:spacing w:before="600" w:after="40"/>
        <w:jc w:val="center"/>
      </w:pPr>
      <w:r>
        <w:rPr>
          <w:b/>
          <w:sz w:val="28"/>
        </w:rPr>
        <w:t>INGENIERÍA EN SISTEMAS DE INFORMACIÓN</w:t>
      </w:r>
    </w:p>
    <w:p w:rsidR="00A46B45" w:rsidRDefault="00F74AC1">
      <w:pPr>
        <w:spacing w:before="1200" w:after="40"/>
        <w:jc w:val="center"/>
      </w:pPr>
      <w:r>
        <w:rPr>
          <w:b/>
          <w:sz w:val="36"/>
        </w:rPr>
        <w:t>DESARROLLO DE APLICACIONES CON OBJETOS</w:t>
      </w:r>
    </w:p>
    <w:p w:rsidR="00A46B45" w:rsidRDefault="00F74AC1">
      <w:pPr>
        <w:spacing w:before="600" w:after="40"/>
        <w:jc w:val="center"/>
      </w:pPr>
      <w:r>
        <w:rPr>
          <w:b/>
          <w:sz w:val="32"/>
        </w:rPr>
        <w:t>TRABAJO PRÁCTICO INTEGRADOR</w:t>
      </w:r>
    </w:p>
    <w:p w:rsidR="00A46B45" w:rsidRDefault="00F74AC1">
      <w:pPr>
        <w:spacing w:before="120" w:after="40"/>
        <w:jc w:val="center"/>
        <w:rPr>
          <w:b/>
          <w:sz w:val="26"/>
        </w:rPr>
      </w:pPr>
      <w:r>
        <w:rPr>
          <w:b/>
          <w:sz w:val="26"/>
        </w:rPr>
        <w:t>SISTEMA DE VENTAS E INVENTARIO: CENTRO DE DISTRIBUCIÓN A LOCALES</w:t>
      </w:r>
    </w:p>
    <w:p w:rsidR="00A16FE3" w:rsidRDefault="00A16FE3">
      <w:pPr>
        <w:spacing w:before="120" w:after="40"/>
        <w:jc w:val="center"/>
      </w:pPr>
      <w:r w:rsidRPr="00A16FE3">
        <w:drawing>
          <wp:inline distT="0" distB="0" distL="0" distR="0" wp14:anchorId="0A45047C" wp14:editId="076B3B64">
            <wp:extent cx="1144574" cy="1705855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5302" cy="172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45" w:rsidRDefault="00F74AC1">
      <w:pPr>
        <w:spacing w:before="600" w:after="40"/>
        <w:jc w:val="center"/>
      </w:pPr>
      <w:r>
        <w:t>Tema 3 · Grupo 84</w:t>
      </w:r>
    </w:p>
    <w:p w:rsidR="00A46B45" w:rsidRDefault="00F74AC1">
      <w:pPr>
        <w:spacing w:before="360" w:after="40"/>
        <w:jc w:val="center"/>
      </w:pPr>
      <w:r>
        <w:t xml:space="preserve">Año: </w:t>
      </w:r>
      <w:r>
        <w:t>2026</w:t>
      </w:r>
    </w:p>
    <w:p w:rsidR="00A46B45" w:rsidRDefault="00F74AC1">
      <w:pPr>
        <w:spacing w:after="40"/>
        <w:jc w:val="center"/>
      </w:pPr>
      <w:r>
        <w:t>Curso: 4K3</w:t>
      </w:r>
    </w:p>
    <w:p w:rsidR="00A46B45" w:rsidRDefault="00F74AC1">
      <w:pPr>
        <w:spacing w:after="40"/>
        <w:jc w:val="center"/>
      </w:pPr>
      <w:r>
        <w:t>Fecha de entrega: 01/11/2026</w:t>
      </w:r>
    </w:p>
    <w:p w:rsidR="00A46B45" w:rsidRDefault="00F74AC1">
      <w:pPr>
        <w:spacing w:before="600" w:after="40"/>
        <w:jc w:val="center"/>
      </w:pPr>
      <w:r>
        <w:rPr>
          <w:b/>
        </w:rPr>
        <w:t>Docentes:</w:t>
      </w:r>
    </w:p>
    <w:p w:rsidR="00A46B45" w:rsidRDefault="00F74AC1">
      <w:pPr>
        <w:spacing w:after="40"/>
        <w:jc w:val="center"/>
      </w:pPr>
      <w:r>
        <w:t>Serrano, Diego Javier</w:t>
      </w:r>
    </w:p>
    <w:p w:rsidR="00A46B45" w:rsidRDefault="00F74AC1" w:rsidP="00A16FE3">
      <w:pPr>
        <w:spacing w:after="40"/>
        <w:jc w:val="center"/>
      </w:pPr>
      <w:proofErr w:type="spellStart"/>
      <w:r>
        <w:t>Botta</w:t>
      </w:r>
      <w:proofErr w:type="spellEnd"/>
      <w:r>
        <w:t>, Oscar Ernesto</w:t>
      </w:r>
      <w:r>
        <w:br w:type="page"/>
      </w:r>
    </w:p>
    <w:p w:rsidR="006E72BC" w:rsidRPr="00C50B14" w:rsidRDefault="00F74AC1">
      <w:pPr>
        <w:pStyle w:val="Ttulo1"/>
        <w:jc w:val="center"/>
        <w:rPr>
          <w:sz w:val="32"/>
        </w:rPr>
      </w:pPr>
      <w:r>
        <w:lastRenderedPageBreak/>
        <w:br/>
      </w:r>
      <w:r w:rsidRPr="00C50B14">
        <w:rPr>
          <w:sz w:val="32"/>
        </w:rPr>
        <w:t>Trabajo práctico integrador</w:t>
      </w:r>
    </w:p>
    <w:p w:rsidR="005F79AC" w:rsidRPr="00C50B14" w:rsidRDefault="005F79AC" w:rsidP="005F79AC">
      <w:pPr>
        <w:pStyle w:val="Textoindependiente"/>
        <w:rPr>
          <w:sz w:val="22"/>
        </w:rPr>
      </w:pPr>
      <w:r w:rsidRPr="00C50B14">
        <w:rPr>
          <w:sz w:val="22"/>
        </w:rPr>
        <w:t>Documento de referencia de desarrollo</w:t>
      </w:r>
    </w:p>
    <w:p w:rsidR="006E72BC" w:rsidRPr="00C50B14" w:rsidRDefault="00F74AC1">
      <w:pPr>
        <w:pStyle w:val="Ttulo2"/>
        <w:rPr>
          <w:sz w:val="28"/>
        </w:rPr>
      </w:pPr>
      <w:r w:rsidRPr="00C50B14">
        <w:rPr>
          <w:sz w:val="28"/>
        </w:rPr>
        <w:t>1. Grupo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6E72BC" w:rsidRPr="00C50B14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BC" w:rsidRPr="00C50B14" w:rsidRDefault="00F74AC1">
            <w:pPr>
              <w:rPr>
                <w:sz w:val="22"/>
              </w:rPr>
            </w:pPr>
            <w:r w:rsidRPr="00C50B14">
              <w:rPr>
                <w:b/>
                <w:sz w:val="22"/>
              </w:rPr>
              <w:t xml:space="preserve">Número de grupo: </w:t>
            </w:r>
            <w:r w:rsidRPr="00C50B14">
              <w:rPr>
                <w:sz w:val="22"/>
              </w:rPr>
              <w:t xml:space="preserve">84        </w:t>
            </w:r>
            <w:r w:rsidRPr="00C50B14">
              <w:rPr>
                <w:b/>
                <w:sz w:val="22"/>
              </w:rPr>
              <w:t xml:space="preserve">Tema: </w:t>
            </w:r>
            <w:r w:rsidRPr="00C50B14">
              <w:rPr>
                <w:sz w:val="22"/>
              </w:rPr>
              <w:t>3 — Sistema de Ventas e Inventario: Centro de Distribución a Locales</w:t>
            </w:r>
          </w:p>
        </w:tc>
      </w:tr>
      <w:tr w:rsidR="006E72BC" w:rsidRPr="00C50B14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BC" w:rsidRPr="00C50B14" w:rsidRDefault="00F74AC1">
            <w:pPr>
              <w:rPr>
                <w:sz w:val="22"/>
              </w:rPr>
            </w:pPr>
            <w:r w:rsidRPr="00C50B14">
              <w:rPr>
                <w:b/>
                <w:sz w:val="22"/>
              </w:rPr>
              <w:t>Integrantes:</w:t>
            </w:r>
          </w:p>
        </w:tc>
      </w:tr>
      <w:tr w:rsidR="006E72BC" w:rsidRPr="00C50B14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763"/>
              <w:gridCol w:w="7745"/>
            </w:tblGrid>
            <w:tr w:rsidR="006E72BC" w:rsidRPr="00C50B14" w:rsidTr="005F79AC">
              <w:tc>
                <w:tcPr>
                  <w:tcW w:w="1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6E72BC" w:rsidRPr="00C50B14" w:rsidRDefault="00F74AC1">
                  <w:pPr>
                    <w:pStyle w:val="TableContents"/>
                    <w:rPr>
                      <w:sz w:val="22"/>
                    </w:rPr>
                  </w:pPr>
                  <w:r w:rsidRPr="00C50B14">
                    <w:rPr>
                      <w:sz w:val="22"/>
                    </w:rPr>
                    <w:t>Legajo</w:t>
                  </w:r>
                </w:p>
              </w:tc>
              <w:tc>
                <w:tcPr>
                  <w:tcW w:w="7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E72BC" w:rsidRPr="00C50B14" w:rsidRDefault="00F74AC1">
                  <w:pPr>
                    <w:pStyle w:val="TableContents"/>
                    <w:rPr>
                      <w:sz w:val="22"/>
                    </w:rPr>
                  </w:pPr>
                  <w:r w:rsidRPr="00C50B14">
                    <w:rPr>
                      <w:sz w:val="22"/>
                    </w:rPr>
                    <w:t>Nombre</w:t>
                  </w:r>
                </w:p>
              </w:tc>
            </w:tr>
            <w:tr w:rsidR="006E72BC" w:rsidRPr="00C50B14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6E72BC" w:rsidRPr="00C50B14" w:rsidRDefault="006E72BC">
                  <w:pPr>
                    <w:pStyle w:val="TableContents"/>
                    <w:rPr>
                      <w:sz w:val="22"/>
                    </w:rPr>
                  </w:pPr>
                  <w:r w:rsidRPr="00C50B14">
                    <w:rPr>
                      <w:sz w:val="22"/>
                    </w:rPr>
                    <w:t>400621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E72BC" w:rsidRPr="00C50B14" w:rsidRDefault="006E72BC">
                  <w:pPr>
                    <w:pStyle w:val="TableContents"/>
                    <w:rPr>
                      <w:sz w:val="22"/>
                    </w:rPr>
                  </w:pPr>
                  <w:proofErr w:type="spellStart"/>
                  <w:r w:rsidRPr="00C50B14">
                    <w:rPr>
                      <w:sz w:val="22"/>
                    </w:rPr>
                    <w:t>Samocachan</w:t>
                  </w:r>
                  <w:proofErr w:type="spellEnd"/>
                  <w:r w:rsidRPr="00C50B14">
                    <w:rPr>
                      <w:sz w:val="22"/>
                    </w:rPr>
                    <w:t>, Ignacio</w:t>
                  </w:r>
                </w:p>
              </w:tc>
            </w:tr>
            <w:tr w:rsidR="005F79AC" w:rsidRPr="00C50B14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5F79AC" w:rsidRPr="00C50B14" w:rsidRDefault="005F79AC">
                  <w:pPr>
                    <w:pStyle w:val="TableContents"/>
                    <w:rPr>
                      <w:sz w:val="22"/>
                    </w:rPr>
                  </w:pPr>
                  <w:r w:rsidRPr="00C50B14">
                    <w:rPr>
                      <w:sz w:val="22"/>
                    </w:rPr>
                    <w:t>400032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F79AC" w:rsidRPr="00C50B14" w:rsidRDefault="005F79AC">
                  <w:pPr>
                    <w:pStyle w:val="TableContents"/>
                    <w:rPr>
                      <w:sz w:val="22"/>
                    </w:rPr>
                  </w:pPr>
                  <w:proofErr w:type="spellStart"/>
                  <w:r w:rsidRPr="00C50B14">
                    <w:rPr>
                      <w:sz w:val="22"/>
                    </w:rPr>
                    <w:t>Garcia</w:t>
                  </w:r>
                  <w:proofErr w:type="spellEnd"/>
                  <w:r w:rsidRPr="00C50B14">
                    <w:rPr>
                      <w:sz w:val="22"/>
                    </w:rPr>
                    <w:t xml:space="preserve"> </w:t>
                  </w:r>
                  <w:proofErr w:type="spellStart"/>
                  <w:r w:rsidRPr="00C50B14">
                    <w:rPr>
                      <w:sz w:val="22"/>
                    </w:rPr>
                    <w:t>Osella</w:t>
                  </w:r>
                  <w:proofErr w:type="spellEnd"/>
                  <w:r w:rsidRPr="00C50B14">
                    <w:rPr>
                      <w:sz w:val="22"/>
                    </w:rPr>
                    <w:t xml:space="preserve">, Olivia </w:t>
                  </w:r>
                  <w:proofErr w:type="spellStart"/>
                  <w:r w:rsidRPr="00C50B14">
                    <w:rPr>
                      <w:sz w:val="22"/>
                    </w:rPr>
                    <w:t>Agostina</w:t>
                  </w:r>
                  <w:proofErr w:type="spellEnd"/>
                </w:p>
              </w:tc>
            </w:tr>
            <w:tr w:rsidR="005F79AC" w:rsidRPr="00C50B14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5F79AC" w:rsidRPr="00C50B14" w:rsidRDefault="005F79AC">
                  <w:pPr>
                    <w:pStyle w:val="TableContents"/>
                    <w:rPr>
                      <w:sz w:val="22"/>
                    </w:rPr>
                  </w:pPr>
                  <w:r w:rsidRPr="00C50B14">
                    <w:rPr>
                      <w:sz w:val="22"/>
                    </w:rPr>
                    <w:t>407069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F79AC" w:rsidRPr="00C50B14" w:rsidRDefault="005F79AC">
                  <w:pPr>
                    <w:pStyle w:val="TableContents"/>
                    <w:rPr>
                      <w:sz w:val="22"/>
                    </w:rPr>
                  </w:pPr>
                  <w:proofErr w:type="spellStart"/>
                  <w:r w:rsidRPr="00C50B14">
                    <w:rPr>
                      <w:sz w:val="22"/>
                    </w:rPr>
                    <w:t>Arrigoni</w:t>
                  </w:r>
                  <w:proofErr w:type="spellEnd"/>
                  <w:r w:rsidRPr="00C50B14">
                    <w:rPr>
                      <w:sz w:val="22"/>
                    </w:rPr>
                    <w:t>, Juan Ignacio</w:t>
                  </w:r>
                </w:p>
              </w:tc>
            </w:tr>
          </w:tbl>
          <w:p w:rsidR="006E72BC" w:rsidRPr="00C50B14" w:rsidRDefault="006E72BC">
            <w:pPr>
              <w:rPr>
                <w:sz w:val="22"/>
              </w:rPr>
            </w:pPr>
          </w:p>
        </w:tc>
      </w:tr>
    </w:tbl>
    <w:p w:rsidR="00A46B45" w:rsidRPr="00C50B14" w:rsidRDefault="00F74AC1">
      <w:pPr>
        <w:pStyle w:val="Ttulo2"/>
        <w:rPr>
          <w:sz w:val="28"/>
        </w:rPr>
      </w:pPr>
      <w:r w:rsidRPr="00C50B14">
        <w:rPr>
          <w:sz w:val="28"/>
        </w:rPr>
        <w:t>2. Propuesta</w:t>
      </w:r>
    </w:p>
    <w:p w:rsidR="00A46B45" w:rsidRPr="00C50B14" w:rsidRDefault="00F74AC1">
      <w:pPr>
        <w:pStyle w:val="Ttulo3"/>
        <w:rPr>
          <w:sz w:val="24"/>
        </w:rPr>
      </w:pPr>
      <w:r w:rsidRPr="00C50B14">
        <w:rPr>
          <w:sz w:val="24"/>
        </w:rPr>
        <w:t>2.1. Objetivos del sistema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sz w:val="22"/>
        </w:rPr>
        <w:t>Un comercio minorista con varios locales se abastece desde un Centro de Distribución (CD) central. Cada local vende al público, controla su stock y solicita reposición al CD, que prepara bultos precintados</w:t>
      </w:r>
      <w:r w:rsidRPr="00C50B14">
        <w:rPr>
          <w:sz w:val="22"/>
        </w:rPr>
        <w:t xml:space="preserve">, los despacha y los locales los reciben. El control del inventario depende de que ese flujo logístico sea confiable: </w:t>
      </w:r>
      <w:r w:rsidRPr="00C50B14">
        <w:rPr>
          <w:b/>
          <w:sz w:val="22"/>
        </w:rPr>
        <w:t>recibir físicamente un bulto no equivale a poder vender su contenido</w:t>
      </w:r>
      <w:r w:rsidRPr="00C50B14">
        <w:rPr>
          <w:sz w:val="22"/>
        </w:rPr>
        <w:t>; la mercadería solo se vuelve vendible después de verificarla.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Objetivo general. </w:t>
      </w:r>
      <w:r w:rsidRPr="00C50B14">
        <w:rPr>
          <w:sz w:val="22"/>
        </w:rPr>
        <w:t>Desarrollar una aplicación orientada a objetos que integre catálogo, inventario, logística interna y ventas, mantenga el stock actualizado y trazable, y permita conocer el resultado económico de las operaciones de cada período.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Objetivos </w:t>
      </w:r>
      <w:r w:rsidRPr="00C50B14">
        <w:rPr>
          <w:b/>
          <w:sz w:val="22"/>
        </w:rPr>
        <w:t>específicos: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Administrar sucursales (locales y Centro de Distribución), productos, categorías, precios, niveles mínimos de stock y proveedores, evitando duplicados.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Consolidar las necesidades de los locales en órdenes de reposición CD → local, y genera</w:t>
      </w:r>
      <w:r w:rsidRPr="00C50B14">
        <w:rPr>
          <w:sz w:val="22"/>
        </w:rPr>
        <w:t>rlas automáticamente cuando un stock cae por debajo de su mínimo.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Empaquetar la mercadería en bultos asociados a un remito y a un precinto de seguridad, y registrar su despacho y su recepción en el local destino.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Controlar el ciclo de vida del bulto co</w:t>
      </w:r>
      <w:r w:rsidRPr="00C50B14">
        <w:rPr>
          <w:sz w:val="22"/>
        </w:rPr>
        <w:t>n una trazabilidad inmutable de estados, de modo que solo la mercadería Verificada impacte como stock disponible.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Registrar ventas de uno o más productos con uno o más cobros, emitir el comprobante y gestionar devoluciones con su impacto en stock y caja.</w:t>
      </w:r>
    </w:p>
    <w:p w:rsidR="00A46B45" w:rsidRPr="00C50B14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  <w:r w:rsidRPr="00C50B14">
        <w:rPr>
          <w:sz w:val="22"/>
        </w:rPr>
        <w:t>•</w:t>
      </w:r>
      <w:r w:rsidRPr="00C50B14">
        <w:rPr>
          <w:sz w:val="22"/>
        </w:rPr>
        <w:tab/>
        <w:t>Ofrecer reportes de gestión no triviales: ventas e ingresos, productos más vendidos y margen, bultos rechazados y tiempo de tránsito.</w:t>
      </w:r>
    </w:p>
    <w:p w:rsidR="00A16FE3" w:rsidRPr="00C50B14" w:rsidRDefault="00A16FE3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</w:p>
    <w:p w:rsidR="00A16FE3" w:rsidRPr="00C50B14" w:rsidRDefault="00A16FE3">
      <w:pPr>
        <w:pStyle w:val="Textoindependiente"/>
        <w:tabs>
          <w:tab w:val="left" w:pos="510"/>
        </w:tabs>
        <w:spacing w:after="80"/>
        <w:ind w:left="510" w:hanging="283"/>
        <w:jc w:val="both"/>
        <w:rPr>
          <w:sz w:val="22"/>
        </w:rPr>
      </w:pPr>
    </w:p>
    <w:p w:rsidR="00A46B45" w:rsidRPr="00C50B14" w:rsidRDefault="00F74AC1">
      <w:pPr>
        <w:pStyle w:val="Ttulo3"/>
        <w:rPr>
          <w:sz w:val="24"/>
        </w:rPr>
      </w:pPr>
      <w:r w:rsidRPr="00C50B14">
        <w:rPr>
          <w:sz w:val="24"/>
        </w:rPr>
        <w:t>2.2. Alcances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sz w:val="22"/>
        </w:rPr>
        <w:t>El sistema cubre los siete procesos de negocio obligatorios de la consigna, sus validaciones y cuatro rep</w:t>
      </w:r>
      <w:r w:rsidRPr="00C50B14">
        <w:rPr>
          <w:sz w:val="22"/>
        </w:rPr>
        <w:t xml:space="preserve">ortes. Se implementó en </w:t>
      </w:r>
      <w:r w:rsidRPr="00C50B14">
        <w:rPr>
          <w:b/>
          <w:sz w:val="22"/>
        </w:rPr>
        <w:t>Python 3.12</w:t>
      </w:r>
      <w:r w:rsidRPr="00C50B14">
        <w:rPr>
          <w:sz w:val="22"/>
        </w:rPr>
        <w:t xml:space="preserve"> con persistencia en </w:t>
      </w:r>
      <w:proofErr w:type="spellStart"/>
      <w:r w:rsidRPr="00C50B14">
        <w:rPr>
          <w:b/>
          <w:sz w:val="22"/>
        </w:rPr>
        <w:t>SQLite</w:t>
      </w:r>
      <w:proofErr w:type="spellEnd"/>
      <w:r w:rsidRPr="00C50B14">
        <w:rPr>
          <w:sz w:val="22"/>
        </w:rPr>
        <w:t xml:space="preserve"> (acceso mediante DAO) e interfaz web local, sin dependencias externas. La Tabla 1 resume cómo se resuelve cada proceso.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A46B45" w:rsidRPr="00C50B14">
        <w:trPr>
          <w:tblHeader/>
          <w:jc w:val="center"/>
        </w:trPr>
        <w:tc>
          <w:tcPr>
            <w:tcW w:w="2948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lastRenderedPageBreak/>
              <w:t>Proceso obligatorio</w:t>
            </w:r>
          </w:p>
        </w:tc>
        <w:tc>
          <w:tcPr>
            <w:tcW w:w="6690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t>Cómo lo resuelve el sistema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1. Sucursales y Centro </w:t>
            </w:r>
            <w:r w:rsidRPr="00C50B14">
              <w:rPr>
                <w:sz w:val="18"/>
              </w:rPr>
              <w:t>de Distribución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Alta, modificación y baja lógica de sucursales de tipo LOCAL o CD.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2. Productos, categorías, precios, mínimos y proveedores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ABM del catálogo; relación producto–proveedor con costo y proveedor principal; stock mínimo por sucursal y </w:t>
            </w:r>
            <w:r w:rsidRPr="00C50B14">
              <w:rPr>
                <w:sz w:val="18"/>
              </w:rPr>
              <w:t>producto; código de producto y CUIT únicos.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3. Orden de reposición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Órdenes con origen (CD) y destino (local) y sus detalles. También se generan o consolidan automáticamente cuando un stock queda bajo el mínimo (</w:t>
            </w:r>
            <w:proofErr w:type="spellStart"/>
            <w:r w:rsidRPr="00C50B14">
              <w:rPr>
                <w:sz w:val="18"/>
              </w:rPr>
              <w:t>Observer</w:t>
            </w:r>
            <w:proofErr w:type="spellEnd"/>
            <w:r w:rsidRPr="00C50B14">
              <w:rPr>
                <w:sz w:val="18"/>
              </w:rPr>
              <w:t>), sin duplicar unidades ya pedidas.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4. Bultos, remito y precinto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Cada remito agrupa bultos; cada bulto recibe un precinto único. El contenido no puede superar lo solicitado ni las unidades libres del CD, que quedan reservadas al preparar el bulto.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5. Despacho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Se despacha el remito complet</w:t>
            </w:r>
            <w:r w:rsidRPr="00C50B14">
              <w:rPr>
                <w:sz w:val="18"/>
              </w:rPr>
              <w:t>o (todos sus bultos precintados). Descuenta el stock del CD y libera la reserva en la misma transacción.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6. Recepción con control de precinto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El local registra la llegada (Recibido) y luego verifica: con precinto íntegro el bulto pasa a Verificado y su co</w:t>
            </w:r>
            <w:r w:rsidRPr="00C50B14">
              <w:rPr>
                <w:sz w:val="18"/>
              </w:rPr>
              <w:t>ntenido ingresa al stock; con precinto roto pasa a Rechazado con motivo y no habilita venta.</w:t>
            </w:r>
          </w:p>
        </w:tc>
      </w:tr>
      <w:tr w:rsidR="00A46B45" w:rsidRPr="00C50B14">
        <w:trPr>
          <w:jc w:val="center"/>
        </w:trPr>
        <w:tc>
          <w:tcPr>
            <w:tcW w:w="2948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7. Ventas, cobros, comprobante y devoluciones</w:t>
            </w:r>
          </w:p>
        </w:tc>
        <w:tc>
          <w:tcPr>
            <w:tcW w:w="6690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Venta </w:t>
            </w:r>
            <w:proofErr w:type="spellStart"/>
            <w:r w:rsidRPr="00C50B14">
              <w:rPr>
                <w:sz w:val="18"/>
              </w:rPr>
              <w:t>multiproducto</w:t>
            </w:r>
            <w:proofErr w:type="spellEnd"/>
            <w:r w:rsidRPr="00C50B14">
              <w:rPr>
                <w:sz w:val="18"/>
              </w:rPr>
              <w:t xml:space="preserve"> con uno o más cobros (efectivo, débito, crédito, transferencia) cuya suma debe igualar el total;</w:t>
            </w:r>
            <w:r w:rsidRPr="00C50B14">
              <w:rPr>
                <w:sz w:val="18"/>
              </w:rPr>
              <w:t xml:space="preserve"> comprobante con número único; devoluciones referidas a una venta registrada, con reingreso a stock y reintegro.</w:t>
            </w:r>
          </w:p>
        </w:tc>
      </w:tr>
    </w:tbl>
    <w:p w:rsidR="00A46B45" w:rsidRPr="00C50B14" w:rsidRDefault="00F74AC1">
      <w:pPr>
        <w:pStyle w:val="Textoindependiente"/>
        <w:spacing w:before="80" w:after="240"/>
        <w:jc w:val="center"/>
        <w:rPr>
          <w:sz w:val="22"/>
        </w:rPr>
      </w:pPr>
      <w:r w:rsidRPr="00C50B14">
        <w:rPr>
          <w:i/>
          <w:sz w:val="18"/>
        </w:rPr>
        <w:t>Tabla 1. Procesos obligatorios y su implementación.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Validaciones de negocio. </w:t>
      </w:r>
      <w:r w:rsidRPr="00C50B14">
        <w:rPr>
          <w:sz w:val="22"/>
        </w:rPr>
        <w:t>La Tabla 2 muestra dónde se garantiza cada validación exigida.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463"/>
      </w:tblGrid>
      <w:tr w:rsidR="00A46B45" w:rsidRPr="00C50B14">
        <w:trPr>
          <w:tblHeader/>
          <w:jc w:val="center"/>
        </w:trPr>
        <w:tc>
          <w:tcPr>
            <w:tcW w:w="3175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t>Validación</w:t>
            </w:r>
          </w:p>
        </w:tc>
        <w:tc>
          <w:tcPr>
            <w:tcW w:w="6463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t>Cómo se garantiza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El stock solo es Disponible cuando el bulto está Verificado; precinto roto → Rechazado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El ingreso al stock del local ocurre únicamente en la transición Recibido → Verificado, controlada por el patrón </w:t>
            </w:r>
            <w:proofErr w:type="spellStart"/>
            <w:r w:rsidRPr="00C50B14">
              <w:rPr>
                <w:sz w:val="18"/>
              </w:rPr>
              <w:t>State</w:t>
            </w:r>
            <w:proofErr w:type="spellEnd"/>
            <w:r w:rsidRPr="00C50B14">
              <w:rPr>
                <w:sz w:val="18"/>
              </w:rPr>
              <w:t>.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Trazabilidad inmut</w:t>
            </w:r>
            <w:r w:rsidRPr="00C50B14">
              <w:rPr>
                <w:sz w:val="18"/>
              </w:rPr>
              <w:t>able de estados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Cada transición inserta un registro de historial (estado anterior y nuevo, fecha y responsable). </w:t>
            </w:r>
            <w:proofErr w:type="spellStart"/>
            <w:r w:rsidRPr="00C50B14">
              <w:rPr>
                <w:sz w:val="18"/>
              </w:rPr>
              <w:t>Triggers</w:t>
            </w:r>
            <w:proofErr w:type="spellEnd"/>
            <w:r w:rsidRPr="00C50B14">
              <w:rPr>
                <w:sz w:val="18"/>
              </w:rPr>
              <w:t xml:space="preserve"> de </w:t>
            </w:r>
            <w:proofErr w:type="spellStart"/>
            <w:r w:rsidRPr="00C50B14">
              <w:rPr>
                <w:sz w:val="18"/>
              </w:rPr>
              <w:t>SQLite</w:t>
            </w:r>
            <w:proofErr w:type="spellEnd"/>
            <w:r w:rsidRPr="00C50B14">
              <w:rPr>
                <w:sz w:val="18"/>
              </w:rPr>
              <w:t xml:space="preserve"> bloquean UPDATE y DELETE sobre el historial y los movimientos de stock.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No vender más que el stock disponible y verificado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Control en el servicio de ventas y restricciones CHECK (cantidades ≥ 0, reservada ≤ cantidad).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Sin productos ni proveedores duplicados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Restricciones UNIQUE sobre código de producto, CUIT, nombre de categoría y precinto.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Devoluciones válidas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 xml:space="preserve">Deben </w:t>
            </w:r>
            <w:r w:rsidRPr="00C50B14">
              <w:rPr>
                <w:sz w:val="18"/>
              </w:rPr>
              <w:t>referenciar una venta registrada y no superar lo vendido menos lo ya devuelto; el reintegro usa el precio histórico de la venta.</w:t>
            </w:r>
          </w:p>
        </w:tc>
      </w:tr>
      <w:tr w:rsidR="00A46B45" w:rsidRPr="00C50B14">
        <w:trPr>
          <w:jc w:val="center"/>
        </w:trPr>
        <w:tc>
          <w:tcPr>
            <w:tcW w:w="317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Consistencia de cada operación</w:t>
            </w:r>
          </w:p>
        </w:tc>
        <w:tc>
          <w:tcPr>
            <w:tcW w:w="646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Cada caso de uso corre en una transacción (BEGIN IMMEDIATE): se confirma completo o se revierte</w:t>
            </w:r>
            <w:r w:rsidRPr="00C50B14">
              <w:rPr>
                <w:sz w:val="18"/>
              </w:rPr>
              <w:t>.</w:t>
            </w:r>
          </w:p>
        </w:tc>
      </w:tr>
    </w:tbl>
    <w:p w:rsidR="00A46B45" w:rsidRPr="00C50B14" w:rsidRDefault="00F74AC1">
      <w:pPr>
        <w:pStyle w:val="Textoindependiente"/>
        <w:spacing w:before="80" w:after="240"/>
        <w:jc w:val="center"/>
        <w:rPr>
          <w:sz w:val="22"/>
        </w:rPr>
      </w:pPr>
      <w:r w:rsidRPr="00C50B14">
        <w:rPr>
          <w:i/>
          <w:sz w:val="18"/>
        </w:rPr>
        <w:t>Tabla 2. Validaciones de negocio.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Reportes. </w:t>
      </w:r>
      <w:r w:rsidRPr="00C50B14">
        <w:rPr>
          <w:sz w:val="22"/>
        </w:rPr>
        <w:t>Se implementaron cuatro reportes no triviales (combinan tablas, agrupan y calculan), con filtros por período y local y exportación a CSV.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6123"/>
      </w:tblGrid>
      <w:tr w:rsidR="00A46B45" w:rsidRPr="00C50B14">
        <w:trPr>
          <w:tblHeader/>
          <w:jc w:val="center"/>
        </w:trPr>
        <w:tc>
          <w:tcPr>
            <w:tcW w:w="3515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t>Reporte</w:t>
            </w:r>
          </w:p>
        </w:tc>
        <w:tc>
          <w:tcPr>
            <w:tcW w:w="6123" w:type="dxa"/>
            <w:shd w:val="clear" w:color="auto" w:fill="D9E2F3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b/>
                <w:sz w:val="18"/>
              </w:rPr>
              <w:t>Contenido</w:t>
            </w:r>
          </w:p>
        </w:tc>
      </w:tr>
      <w:tr w:rsidR="00A46B45" w:rsidRPr="00C50B14">
        <w:trPr>
          <w:jc w:val="center"/>
        </w:trPr>
        <w:tc>
          <w:tcPr>
            <w:tcW w:w="351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Ventas e ingresos por período, local y medio de pago</w:t>
            </w:r>
          </w:p>
        </w:tc>
        <w:tc>
          <w:tcPr>
            <w:tcW w:w="612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Cobrado, reintegrado y neto, agrupados por local y medio de pago.</w:t>
            </w:r>
          </w:p>
        </w:tc>
      </w:tr>
      <w:tr w:rsidR="00A46B45" w:rsidRPr="00C50B14">
        <w:trPr>
          <w:jc w:val="center"/>
        </w:trPr>
        <w:tc>
          <w:tcPr>
            <w:tcW w:w="351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Productos más vendidos y margen</w:t>
            </w:r>
          </w:p>
        </w:tc>
        <w:tc>
          <w:tcPr>
            <w:tcW w:w="612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Unidades netas, ingresos y margen estimado con precio y costo históricos; descuenta devoluciones.</w:t>
            </w:r>
          </w:p>
        </w:tc>
      </w:tr>
      <w:tr w:rsidR="00A46B45" w:rsidRPr="00C50B14">
        <w:trPr>
          <w:jc w:val="center"/>
        </w:trPr>
        <w:tc>
          <w:tcPr>
            <w:tcW w:w="351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Bultos rechazados</w:t>
            </w:r>
          </w:p>
        </w:tc>
        <w:tc>
          <w:tcPr>
            <w:tcW w:w="612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Bultos rechazados por rotura de precint</w:t>
            </w:r>
            <w:r w:rsidRPr="00C50B14">
              <w:rPr>
                <w:sz w:val="18"/>
              </w:rPr>
              <w:t>o: unidades, motivo, destino y fecha.</w:t>
            </w:r>
          </w:p>
        </w:tc>
      </w:tr>
      <w:tr w:rsidR="00A46B45" w:rsidRPr="00C50B14">
        <w:trPr>
          <w:jc w:val="center"/>
        </w:trPr>
        <w:tc>
          <w:tcPr>
            <w:tcW w:w="3515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Tiempo de tránsito CD → locales</w:t>
            </w:r>
          </w:p>
        </w:tc>
        <w:tc>
          <w:tcPr>
            <w:tcW w:w="6123" w:type="dxa"/>
          </w:tcPr>
          <w:p w:rsidR="00A46B45" w:rsidRPr="00C50B14" w:rsidRDefault="00F74AC1">
            <w:pPr>
              <w:pStyle w:val="TableContents"/>
              <w:rPr>
                <w:sz w:val="22"/>
              </w:rPr>
            </w:pPr>
            <w:r w:rsidRPr="00C50B14">
              <w:rPr>
                <w:sz w:val="18"/>
              </w:rPr>
              <w:t>Promedio y máximo, en horas, entre En tránsito y Recibido, por destino.</w:t>
            </w:r>
          </w:p>
        </w:tc>
      </w:tr>
    </w:tbl>
    <w:p w:rsidR="00A46B45" w:rsidRPr="00C50B14" w:rsidRDefault="00F74AC1">
      <w:pPr>
        <w:pStyle w:val="Textoindependiente"/>
        <w:spacing w:before="80" w:after="240"/>
        <w:jc w:val="center"/>
        <w:rPr>
          <w:sz w:val="22"/>
        </w:rPr>
      </w:pPr>
      <w:r w:rsidRPr="00C50B14">
        <w:rPr>
          <w:i/>
          <w:sz w:val="18"/>
        </w:rPr>
        <w:t>Tabla 3. Reportes implementados.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Fuera del alcance. </w:t>
      </w:r>
      <w:r w:rsidRPr="00C50B14">
        <w:rPr>
          <w:sz w:val="22"/>
        </w:rPr>
        <w:t xml:space="preserve">No se implementaron los procesos opcionales (órdenes de </w:t>
      </w:r>
      <w:r w:rsidRPr="00C50B14">
        <w:rPr>
          <w:sz w:val="22"/>
        </w:rPr>
        <w:t>compra sugeridas, promociones y listas de precios, lotes y vencimientos, clientes frecuentes y cuentas corrientes, inventario físico), ni autenticación por roles, facturación fiscal, pagos reales o despliegue público. Las compras se cubren con el ingreso d</w:t>
      </w:r>
      <w:r w:rsidRPr="00C50B14">
        <w:rPr>
          <w:sz w:val="22"/>
        </w:rPr>
        <w:t>e mercadería de un proveedor al CD, con cantidad y costo.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Arquitectura. </w:t>
      </w:r>
      <w:r w:rsidRPr="00C50B14">
        <w:rPr>
          <w:sz w:val="22"/>
        </w:rPr>
        <w:t>Navegador → API HTTP local → servicios (</w:t>
      </w:r>
      <w:r w:rsidRPr="00C50B14">
        <w:rPr>
          <w:rFonts w:ascii="Consolas" w:hAnsi="Consolas"/>
          <w:sz w:val="20"/>
        </w:rPr>
        <w:t>Sistema</w:t>
      </w:r>
      <w:r w:rsidRPr="00C50B14">
        <w:rPr>
          <w:sz w:val="22"/>
        </w:rPr>
        <w:t xml:space="preserve">) → modelos y DAO → </w:t>
      </w:r>
      <w:proofErr w:type="spellStart"/>
      <w:r w:rsidRPr="00C50B14">
        <w:rPr>
          <w:sz w:val="22"/>
        </w:rPr>
        <w:t>SQLite</w:t>
      </w:r>
      <w:proofErr w:type="spellEnd"/>
      <w:r w:rsidRPr="00C50B14">
        <w:rPr>
          <w:sz w:val="22"/>
        </w:rPr>
        <w:t>. La interfaz solo valida tipos; las reglas de negocio viven en los servicios y en el modelo de dominio.</w:t>
      </w:r>
    </w:p>
    <w:p w:rsidR="00A46B45" w:rsidRPr="00C50B14" w:rsidRDefault="00F74AC1">
      <w:pPr>
        <w:pStyle w:val="Ttulo3"/>
        <w:rPr>
          <w:sz w:val="24"/>
        </w:rPr>
      </w:pPr>
      <w:r w:rsidRPr="00C50B14">
        <w:rPr>
          <w:sz w:val="24"/>
        </w:rPr>
        <w:t>2.3. D</w:t>
      </w:r>
      <w:r w:rsidR="00C50B14" w:rsidRPr="00C50B14">
        <w:rPr>
          <w:sz w:val="24"/>
        </w:rPr>
        <w:t>ER y</w:t>
      </w:r>
      <w:r w:rsidRPr="00C50B14">
        <w:rPr>
          <w:sz w:val="24"/>
        </w:rPr>
        <w:t xml:space="preserve"> Diagrama de Clases UML</w:t>
      </w:r>
    </w:p>
    <w:p w:rsidR="00A46B45" w:rsidRPr="00C50B14" w:rsidRDefault="00F74AC1">
      <w:pPr>
        <w:pStyle w:val="Textoindependiente"/>
        <w:jc w:val="both"/>
        <w:rPr>
          <w:sz w:val="22"/>
        </w:rPr>
      </w:pPr>
      <w:r w:rsidRPr="00C50B14">
        <w:rPr>
          <w:b/>
          <w:sz w:val="22"/>
        </w:rPr>
        <w:t xml:space="preserve">Nota: </w:t>
      </w:r>
      <w:r w:rsidRPr="00C50B14">
        <w:rPr>
          <w:sz w:val="22"/>
        </w:rPr>
        <w:t xml:space="preserve">los diagramas representan el modelo de diseño. En el código algunos nombres </w:t>
      </w:r>
      <w:r w:rsidR="00C50B14">
        <w:rPr>
          <w:sz w:val="22"/>
        </w:rPr>
        <w:t>y estructuras se simplificaron.</w:t>
      </w:r>
    </w:p>
    <w:p w:rsidR="00A46B45" w:rsidRDefault="00A46B45">
      <w:pPr>
        <w:sectPr w:rsidR="00A46B45">
          <w:headerReference w:type="default" r:id="rId8"/>
          <w:footerReference w:type="default" r:id="rId9"/>
          <w:pgSz w:w="11906" w:h="16838"/>
          <w:pgMar w:top="1134" w:right="1134" w:bottom="1134" w:left="1134" w:header="340" w:footer="567" w:gutter="0"/>
          <w:cols w:space="720"/>
          <w:formProt w:val="0"/>
          <w:titlePg/>
        </w:sectPr>
      </w:pPr>
    </w:p>
    <w:p w:rsidR="00A46B45" w:rsidRDefault="00F74AC1">
      <w:pPr>
        <w:pStyle w:val="Textoindependiente"/>
        <w:keepNext/>
        <w:jc w:val="center"/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56041E97" wp14:editId="7716779F">
            <wp:extent cx="9216000" cy="4088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40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45" w:rsidRDefault="00F74AC1">
      <w:pPr>
        <w:pStyle w:val="Textoindependiente"/>
        <w:spacing w:before="80" w:after="240"/>
        <w:jc w:val="center"/>
      </w:pPr>
      <w:r>
        <w:rPr>
          <w:i/>
          <w:sz w:val="20"/>
        </w:rPr>
        <w:t>Figura 1. DER del modelo de datos (</w:t>
      </w:r>
      <w:proofErr w:type="spellStart"/>
      <w:r>
        <w:rPr>
          <w:i/>
          <w:sz w:val="20"/>
        </w:rPr>
        <w:t>SQLite</w:t>
      </w:r>
      <w:proofErr w:type="spellEnd"/>
      <w:r>
        <w:rPr>
          <w:i/>
          <w:sz w:val="20"/>
        </w:rPr>
        <w:t>).</w:t>
      </w:r>
    </w:p>
    <w:p w:rsidR="00A46B45" w:rsidRDefault="00F74AC1">
      <w:r>
        <w:br w:type="page"/>
      </w:r>
    </w:p>
    <w:p w:rsidR="00A46B45" w:rsidRDefault="00F74AC1">
      <w:pPr>
        <w:pStyle w:val="Textoindependiente"/>
        <w:keepNext/>
        <w:jc w:val="center"/>
      </w:pPr>
      <w:r>
        <w:rPr>
          <w:noProof/>
          <w:lang w:val="en-US" w:eastAsia="en-US" w:bidi="ar-SA"/>
        </w:rPr>
        <w:lastRenderedPageBreak/>
        <w:drawing>
          <wp:inline distT="0" distB="0" distL="0" distR="0">
            <wp:extent cx="7655143" cy="56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clas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5143" cy="56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45" w:rsidRDefault="00F74AC1">
      <w:pPr>
        <w:pStyle w:val="Textoindependiente"/>
        <w:spacing w:before="80" w:after="240"/>
        <w:jc w:val="center"/>
      </w:pPr>
      <w:r>
        <w:rPr>
          <w:i/>
          <w:sz w:val="20"/>
        </w:rPr>
        <w:t>Figura 2. Diagrama de clases UML del dominio.</w:t>
      </w:r>
    </w:p>
    <w:p w:rsidR="00A46B45" w:rsidRDefault="00A46B45">
      <w:pPr>
        <w:sectPr w:rsidR="00A46B45">
          <w:headerReference w:type="default" r:id="rId12"/>
          <w:pgSz w:w="16838" w:h="11906" w:orient="landscape"/>
          <w:pgMar w:top="1134" w:right="1134" w:bottom="1134" w:left="1134" w:header="340" w:footer="567" w:gutter="0"/>
          <w:cols w:space="720"/>
          <w:formProt w:val="0"/>
        </w:sectPr>
      </w:pPr>
    </w:p>
    <w:p w:rsidR="00A46B45" w:rsidRDefault="00F74AC1">
      <w:pPr>
        <w:pStyle w:val="Ttulo3"/>
      </w:pPr>
      <w:r>
        <w:lastRenderedPageBreak/>
        <w:t xml:space="preserve">2.4. Ciclo de vida del </w:t>
      </w:r>
      <w:r>
        <w:t>bulto</w:t>
      </w:r>
    </w:p>
    <w:p w:rsidR="00A46B45" w:rsidRDefault="00F74AC1">
      <w:pPr>
        <w:pStyle w:val="Textoindependiente"/>
        <w:jc w:val="both"/>
      </w:pPr>
      <w:r>
        <w:t>La consigna evalúa especialmente el ciclo de vida del bulto. La Figura 3 muestra su máquina de estados y la Tabla 4 las transiciones válidas. Cualquier otra acción lanza un error y el estado no cambia; Verificado y Rechazado son estados finales. “Dis</w:t>
      </w:r>
      <w:r>
        <w:t>ponible” no es un estado del bulto, sino el efecto sobre el stock del local al pasar a Verificado.</w:t>
      </w:r>
    </w:p>
    <w:p w:rsidR="00A46B45" w:rsidRDefault="00F74AC1">
      <w:pPr>
        <w:pStyle w:val="Textoindependiente"/>
        <w:keepNext/>
        <w:jc w:val="center"/>
      </w:pPr>
      <w:r>
        <w:rPr>
          <w:noProof/>
          <w:lang w:val="en-US" w:eastAsia="en-US" w:bidi="ar-SA"/>
        </w:rPr>
        <w:drawing>
          <wp:inline distT="0" distB="0" distL="0" distR="0">
            <wp:extent cx="5332719" cy="1963308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ina-estados-bul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601" cy="196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45" w:rsidRDefault="00F74AC1">
      <w:pPr>
        <w:pStyle w:val="Textoindependiente"/>
        <w:spacing w:before="80" w:after="240"/>
        <w:jc w:val="center"/>
      </w:pPr>
      <w:r>
        <w:rPr>
          <w:i/>
          <w:sz w:val="20"/>
        </w:rPr>
        <w:t>Figura 3. Máquina de estados del bulto.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494"/>
        <w:gridCol w:w="1701"/>
        <w:gridCol w:w="3855"/>
      </w:tblGrid>
      <w:tr w:rsidR="00A46B45">
        <w:trPr>
          <w:tblHeader/>
          <w:jc w:val="center"/>
        </w:trPr>
        <w:tc>
          <w:tcPr>
            <w:tcW w:w="1587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w="2494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Estado siguiente</w:t>
            </w:r>
          </w:p>
        </w:tc>
        <w:tc>
          <w:tcPr>
            <w:tcW w:w="3855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Efecto</w:t>
            </w:r>
          </w:p>
        </w:tc>
      </w:tr>
      <w:tr w:rsidR="00A46B45">
        <w:trPr>
          <w:jc w:val="center"/>
        </w:trPr>
        <w:tc>
          <w:tcPr>
            <w:tcW w:w="1587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Preparado</w:t>
            </w:r>
          </w:p>
        </w:tc>
        <w:tc>
          <w:tcPr>
            <w:tcW w:w="2494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precintar()</w:t>
            </w:r>
          </w:p>
        </w:tc>
        <w:tc>
          <w:tcPr>
            <w:tcW w:w="1701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Precintado</w:t>
            </w:r>
          </w:p>
        </w:tc>
        <w:tc>
          <w:tcPr>
            <w:tcW w:w="3855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Asigna el código de precinto.</w:t>
            </w:r>
          </w:p>
        </w:tc>
      </w:tr>
      <w:tr w:rsidR="00A46B45">
        <w:trPr>
          <w:jc w:val="center"/>
        </w:trPr>
        <w:tc>
          <w:tcPr>
            <w:tcW w:w="1587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Precintado</w:t>
            </w:r>
          </w:p>
        </w:tc>
        <w:tc>
          <w:tcPr>
            <w:tcW w:w="2494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despachar()</w:t>
            </w:r>
          </w:p>
        </w:tc>
        <w:tc>
          <w:tcPr>
            <w:tcW w:w="1701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En tránsito</w:t>
            </w:r>
          </w:p>
        </w:tc>
        <w:tc>
          <w:tcPr>
            <w:tcW w:w="3855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Sale del CD: descuenta stock y libera la reserva.</w:t>
            </w:r>
          </w:p>
        </w:tc>
      </w:tr>
      <w:tr w:rsidR="00A46B45">
        <w:trPr>
          <w:jc w:val="center"/>
        </w:trPr>
        <w:tc>
          <w:tcPr>
            <w:tcW w:w="1587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En tránsito</w:t>
            </w:r>
          </w:p>
        </w:tc>
        <w:tc>
          <w:tcPr>
            <w:tcW w:w="2494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recibir()</w:t>
            </w:r>
          </w:p>
        </w:tc>
        <w:tc>
          <w:tcPr>
            <w:tcW w:w="1701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Recibido</w:t>
            </w:r>
          </w:p>
        </w:tc>
        <w:tc>
          <w:tcPr>
            <w:tcW w:w="3855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Registra la llegada; todavía no habilita venta.</w:t>
            </w:r>
          </w:p>
        </w:tc>
      </w:tr>
      <w:tr w:rsidR="00A46B45">
        <w:trPr>
          <w:jc w:val="center"/>
        </w:trPr>
        <w:tc>
          <w:tcPr>
            <w:tcW w:w="1587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Recibido</w:t>
            </w:r>
          </w:p>
        </w:tc>
        <w:tc>
          <w:tcPr>
            <w:tcW w:w="2494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verificar() con precinto íntegro</w:t>
            </w:r>
          </w:p>
        </w:tc>
        <w:tc>
          <w:tcPr>
            <w:tcW w:w="1701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Verificado</w:t>
            </w:r>
          </w:p>
        </w:tc>
        <w:tc>
          <w:tcPr>
            <w:tcW w:w="3855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El contenido ingresa al stock disponible del loc</w:t>
            </w:r>
            <w:r>
              <w:rPr>
                <w:sz w:val="20"/>
              </w:rPr>
              <w:t>al.</w:t>
            </w:r>
          </w:p>
        </w:tc>
      </w:tr>
      <w:tr w:rsidR="00A46B45">
        <w:trPr>
          <w:jc w:val="center"/>
        </w:trPr>
        <w:tc>
          <w:tcPr>
            <w:tcW w:w="1587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Recibido</w:t>
            </w:r>
          </w:p>
        </w:tc>
        <w:tc>
          <w:tcPr>
            <w:tcW w:w="2494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verificar() con precinto roto</w:t>
            </w:r>
          </w:p>
        </w:tc>
        <w:tc>
          <w:tcPr>
            <w:tcW w:w="1701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Rechazado</w:t>
            </w:r>
          </w:p>
        </w:tc>
        <w:tc>
          <w:tcPr>
            <w:tcW w:w="3855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Registra el motivo; no impacta el stock vendible.</w:t>
            </w:r>
          </w:p>
        </w:tc>
      </w:tr>
    </w:tbl>
    <w:p w:rsidR="00A46B45" w:rsidRDefault="00F74AC1">
      <w:pPr>
        <w:pStyle w:val="Textoindependiente"/>
        <w:spacing w:before="80" w:after="240"/>
        <w:jc w:val="center"/>
      </w:pPr>
      <w:r>
        <w:rPr>
          <w:i/>
          <w:sz w:val="20"/>
        </w:rPr>
        <w:t>Tabla 4. Transiciones válidas del bulto.</w:t>
      </w:r>
    </w:p>
    <w:p w:rsidR="00A46B45" w:rsidRDefault="00F74AC1">
      <w:pPr>
        <w:pStyle w:val="Ttulo2"/>
      </w:pPr>
      <w:r>
        <w:t>3. Patrones de diseño aplicados</w:t>
      </w:r>
    </w:p>
    <w:p w:rsidR="00A46B45" w:rsidRDefault="00F74AC1">
      <w:pPr>
        <w:pStyle w:val="Textoindependiente"/>
        <w:jc w:val="both"/>
      </w:pPr>
      <w:r>
        <w:t xml:space="preserve">La consigna exige al menos dos patrones de diseño. Se aplicaron </w:t>
      </w:r>
      <w:proofErr w:type="spellStart"/>
      <w:r>
        <w:rPr>
          <w:b/>
        </w:rPr>
        <w:t>State</w:t>
      </w:r>
      <w:proofErr w:type="spellEnd"/>
      <w:r>
        <w:t xml:space="preserve"> y </w:t>
      </w:r>
      <w:proofErr w:type="spellStart"/>
      <w:r>
        <w:rPr>
          <w:b/>
        </w:rPr>
        <w:t>Observer</w:t>
      </w:r>
      <w:proofErr w:type="spellEnd"/>
      <w:r>
        <w:t>, cada uno sobre una regla de negocio concreta.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309"/>
        <w:gridCol w:w="3969"/>
      </w:tblGrid>
      <w:tr w:rsidR="00A46B45">
        <w:trPr>
          <w:tblHeader/>
          <w:jc w:val="center"/>
        </w:trPr>
        <w:tc>
          <w:tcPr>
            <w:tcW w:w="1361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Patrón</w:t>
            </w:r>
          </w:p>
        </w:tc>
        <w:tc>
          <w:tcPr>
            <w:tcW w:w="4309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Problema que resuelve</w:t>
            </w:r>
          </w:p>
        </w:tc>
        <w:tc>
          <w:tcPr>
            <w:tcW w:w="3969" w:type="dxa"/>
            <w:shd w:val="clear" w:color="auto" w:fill="D9E2F3"/>
          </w:tcPr>
          <w:p w:rsidR="00A46B45" w:rsidRDefault="00F74AC1">
            <w:pPr>
              <w:pStyle w:val="TableContents"/>
            </w:pPr>
            <w:r>
              <w:rPr>
                <w:b/>
                <w:sz w:val="20"/>
              </w:rPr>
              <w:t>Participantes</w:t>
            </w:r>
          </w:p>
        </w:tc>
      </w:tr>
      <w:tr w:rsidR="00A46B45">
        <w:trPr>
          <w:jc w:val="center"/>
        </w:trPr>
        <w:tc>
          <w:tcPr>
            <w:tcW w:w="1361" w:type="dxa"/>
          </w:tcPr>
          <w:p w:rsidR="00A46B45" w:rsidRDefault="00F74AC1">
            <w:pPr>
              <w:pStyle w:val="TableContents"/>
            </w:pPr>
            <w:proofErr w:type="spellStart"/>
            <w:r>
              <w:rPr>
                <w:sz w:val="20"/>
              </w:rPr>
              <w:t>State</w:t>
            </w:r>
            <w:proofErr w:type="spellEnd"/>
          </w:p>
        </w:tc>
        <w:tc>
          <w:tcPr>
            <w:tcW w:w="4309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La acción permitida depende del estado del bulto; evita repartir condicionales por estado en la interfaz y en los servicios.</w:t>
            </w:r>
          </w:p>
        </w:tc>
        <w:tc>
          <w:tcPr>
            <w:tcW w:w="3969" w:type="dxa"/>
          </w:tcPr>
          <w:p w:rsidR="00A46B45" w:rsidRDefault="00F74AC1">
            <w:pPr>
              <w:pStyle w:val="TableContents"/>
            </w:pPr>
            <w:r>
              <w:rPr>
                <w:rFonts w:ascii="Consolas" w:hAnsi="Consolas"/>
                <w:sz w:val="20"/>
              </w:rPr>
              <w:t>Bulto</w:t>
            </w:r>
            <w:r>
              <w:rPr>
                <w:sz w:val="20"/>
              </w:rPr>
              <w:t xml:space="preserve"> (contexto), </w:t>
            </w:r>
            <w:proofErr w:type="spellStart"/>
            <w:r>
              <w:rPr>
                <w:rFonts w:ascii="Consolas" w:hAnsi="Consolas"/>
                <w:sz w:val="20"/>
              </w:rPr>
              <w:t>EstadoBulto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Preparado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Precintado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EnTransito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Recibido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Verificado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Rechazado</w:t>
            </w:r>
          </w:p>
        </w:tc>
      </w:tr>
      <w:tr w:rsidR="00A46B45">
        <w:trPr>
          <w:jc w:val="center"/>
        </w:trPr>
        <w:tc>
          <w:tcPr>
            <w:tcW w:w="1361" w:type="dxa"/>
          </w:tcPr>
          <w:p w:rsidR="00A46B45" w:rsidRDefault="00F74AC1">
            <w:pPr>
              <w:pStyle w:val="TableContents"/>
            </w:pPr>
            <w:proofErr w:type="spellStart"/>
            <w:r>
              <w:rPr>
                <w:sz w:val="20"/>
              </w:rPr>
              <w:t>Observer</w:t>
            </w:r>
            <w:proofErr w:type="spellEnd"/>
          </w:p>
        </w:tc>
        <w:tc>
          <w:tcPr>
            <w:tcW w:w="4309" w:type="dxa"/>
          </w:tcPr>
          <w:p w:rsidR="00A46B45" w:rsidRDefault="00F74AC1">
            <w:pPr>
              <w:pStyle w:val="TableContents"/>
            </w:pPr>
            <w:r>
              <w:rPr>
                <w:sz w:val="20"/>
              </w:rPr>
              <w:t>Cuando un stock queda bajo el mínimo deben reaccionar otros objetos sin que el stock conozca cómo se genera la reposición.</w:t>
            </w:r>
          </w:p>
        </w:tc>
        <w:tc>
          <w:tcPr>
            <w:tcW w:w="3969" w:type="dxa"/>
          </w:tcPr>
          <w:p w:rsidR="00A46B45" w:rsidRDefault="00F74AC1">
            <w:pPr>
              <w:pStyle w:val="TableContents"/>
            </w:pPr>
            <w:r>
              <w:rPr>
                <w:rFonts w:ascii="Consolas" w:hAnsi="Consolas"/>
                <w:sz w:val="20"/>
              </w:rPr>
              <w:t>Stock</w:t>
            </w:r>
            <w:r>
              <w:rPr>
                <w:sz w:val="20"/>
              </w:rPr>
              <w:t xml:space="preserve"> (sujeto), </w:t>
            </w:r>
            <w:proofErr w:type="spellStart"/>
            <w:r>
              <w:rPr>
                <w:rFonts w:ascii="Consolas" w:hAnsi="Consolas"/>
                <w:sz w:val="20"/>
              </w:rPr>
              <w:t>ObservadorStock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GeneradorReposicionAutomatica</w:t>
            </w:r>
            <w:proofErr w:type="spellEnd"/>
          </w:p>
        </w:tc>
      </w:tr>
    </w:tbl>
    <w:p w:rsidR="00A46B45" w:rsidRDefault="00F74AC1">
      <w:pPr>
        <w:pStyle w:val="Textoindependiente"/>
        <w:spacing w:before="80" w:after="240"/>
        <w:jc w:val="center"/>
      </w:pPr>
      <w:r>
        <w:rPr>
          <w:i/>
          <w:sz w:val="20"/>
        </w:rPr>
        <w:t>Tabla 5. Patrones de diseño aplicados.</w:t>
      </w:r>
    </w:p>
    <w:p w:rsidR="00A46B45" w:rsidRDefault="00F74AC1">
      <w:pPr>
        <w:pStyle w:val="Textoindependiente"/>
        <w:jc w:val="both"/>
      </w:pPr>
      <w:proofErr w:type="spellStart"/>
      <w:r>
        <w:rPr>
          <w:b/>
        </w:rPr>
        <w:t>State</w:t>
      </w:r>
      <w:proofErr w:type="spellEnd"/>
      <w:r>
        <w:rPr>
          <w:b/>
        </w:rPr>
        <w:t xml:space="preserve">. </w:t>
      </w:r>
      <w:r>
        <w:t xml:space="preserve">El bulto mantiene un objeto estado y le delega cada operación. </w:t>
      </w:r>
      <w:proofErr w:type="spellStart"/>
      <w:r>
        <w:rPr>
          <w:rFonts w:ascii="Consolas" w:hAnsi="Consolas"/>
          <w:sz w:val="21"/>
        </w:rPr>
        <w:t>EstadoBulto</w:t>
      </w:r>
      <w:proofErr w:type="spellEnd"/>
      <w:r>
        <w:t xml:space="preserve"> define todas las acciones lanzando error por defecto y cada estado concreto sobrescribe solo las que per</w:t>
      </w:r>
      <w:r>
        <w:t>mite; por eso un reintento sobre un bulto Verificado no vuelve a ingresar stock. El estado se guarda como texto en la base y se reconstruye como objeto al recuperarlo.</w:t>
      </w:r>
    </w:p>
    <w:p w:rsidR="00A46B45" w:rsidRDefault="00F74AC1">
      <w:pPr>
        <w:pStyle w:val="Textoindependiente"/>
        <w:jc w:val="both"/>
      </w:pPr>
      <w:proofErr w:type="spellStart"/>
      <w:r>
        <w:rPr>
          <w:b/>
        </w:rPr>
        <w:t>Observer</w:t>
      </w:r>
      <w:proofErr w:type="spellEnd"/>
      <w:r>
        <w:rPr>
          <w:b/>
        </w:rPr>
        <w:t xml:space="preserve">. </w:t>
      </w:r>
      <w:proofErr w:type="spellStart"/>
      <w:r>
        <w:rPr>
          <w:rFonts w:ascii="Consolas" w:hAnsi="Consolas"/>
          <w:sz w:val="21"/>
        </w:rPr>
        <w:t>Stock.notificar</w:t>
      </w:r>
      <w:proofErr w:type="spellEnd"/>
      <w:r>
        <w:rPr>
          <w:rFonts w:ascii="Consolas" w:hAnsi="Consolas"/>
          <w:sz w:val="21"/>
        </w:rPr>
        <w:t>()</w:t>
      </w:r>
      <w:r>
        <w:t xml:space="preserve"> compara el disponible con el mínimo y llama a </w:t>
      </w:r>
      <w:proofErr w:type="gramStart"/>
      <w:r>
        <w:rPr>
          <w:rFonts w:ascii="Consolas" w:hAnsi="Consolas"/>
          <w:sz w:val="21"/>
        </w:rPr>
        <w:t>actualizar(</w:t>
      </w:r>
      <w:proofErr w:type="gramEnd"/>
      <w:r>
        <w:rPr>
          <w:rFonts w:ascii="Consolas" w:hAnsi="Consolas"/>
          <w:sz w:val="21"/>
        </w:rPr>
        <w:t>)</w:t>
      </w:r>
      <w:r>
        <w:t xml:space="preserve"> d</w:t>
      </w:r>
      <w:r>
        <w:t xml:space="preserve">e cada observador registrado. </w:t>
      </w:r>
      <w:proofErr w:type="spellStart"/>
      <w:r>
        <w:rPr>
          <w:rFonts w:ascii="Consolas" w:hAnsi="Consolas"/>
          <w:sz w:val="21"/>
        </w:rPr>
        <w:t>GeneradorReposicionAutomatica</w:t>
      </w:r>
      <w:proofErr w:type="spellEnd"/>
      <w:r>
        <w:t xml:space="preserve"> consolida el faltante en una orden de reposición desde el CD. Se puede agregar otro observador sin modificar el sujeto.</w:t>
      </w:r>
    </w:p>
    <w:p w:rsidR="00A46B45" w:rsidRDefault="00F74AC1">
      <w:pPr>
        <w:pStyle w:val="Ttulo2"/>
      </w:pPr>
      <w:r>
        <w:lastRenderedPageBreak/>
        <w:t>4. Decisiones de diseño</w:t>
      </w:r>
    </w:p>
    <w:p w:rsidR="00A46B45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</w:pPr>
      <w:r>
        <w:t>•</w:t>
      </w:r>
      <w:r>
        <w:tab/>
      </w:r>
      <w:r>
        <w:rPr>
          <w:b/>
        </w:rPr>
        <w:t xml:space="preserve">Stock reservado. </w:t>
      </w:r>
      <w:r>
        <w:t xml:space="preserve">Preparar un bulto reserva unidades del CD sin descontarlas; el descuento ocurre al despachar. </w:t>
      </w:r>
      <w:r>
        <w:t>Así no se asignan las mismas unidades a dos bultos.</w:t>
      </w:r>
    </w:p>
    <w:p w:rsidR="00A46B45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</w:pPr>
      <w:r>
        <w:t>•</w:t>
      </w:r>
      <w:r>
        <w:tab/>
      </w:r>
      <w:r>
        <w:rPr>
          <w:b/>
        </w:rPr>
        <w:t xml:space="preserve">Recibido no es Disponible. </w:t>
      </w:r>
      <w:r>
        <w:t>La llegada física y la verificación son pasos distintos; solo la verificación con precinto íntegro habilita la venta.</w:t>
      </w:r>
    </w:p>
    <w:p w:rsidR="00A46B45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</w:pPr>
      <w:r>
        <w:t>•</w:t>
      </w:r>
      <w:r>
        <w:tab/>
      </w:r>
      <w:r>
        <w:rPr>
          <w:b/>
        </w:rPr>
        <w:t xml:space="preserve">Recepción por bulto. </w:t>
      </w:r>
      <w:r>
        <w:t>Cada bulto se verifica individualm</w:t>
      </w:r>
      <w:r>
        <w:t>ente; un remito con bultos verificados y rechazados queda parcialmente aceptado.</w:t>
      </w:r>
    </w:p>
    <w:p w:rsidR="00A46B45" w:rsidRDefault="00F74AC1">
      <w:pPr>
        <w:pStyle w:val="Textoindependiente"/>
        <w:tabs>
          <w:tab w:val="left" w:pos="510"/>
        </w:tabs>
        <w:spacing w:after="80"/>
        <w:ind w:left="510" w:hanging="283"/>
        <w:jc w:val="both"/>
      </w:pPr>
      <w:r>
        <w:t>•</w:t>
      </w:r>
      <w:r>
        <w:tab/>
      </w:r>
      <w:r>
        <w:rPr>
          <w:b/>
        </w:rPr>
        <w:t xml:space="preserve">Precisión monetaria. </w:t>
      </w:r>
      <w:r>
        <w:t>Los importes se calculan con Decimal, nunca con punto flotante.</w:t>
      </w:r>
    </w:p>
    <w:p w:rsidR="00A46B45" w:rsidRDefault="00F74AC1" w:rsidP="00C50B14">
      <w:pPr>
        <w:pStyle w:val="Textoindependiente"/>
        <w:tabs>
          <w:tab w:val="left" w:pos="510"/>
        </w:tabs>
        <w:spacing w:after="80"/>
        <w:ind w:left="510" w:hanging="283"/>
        <w:jc w:val="both"/>
      </w:pPr>
      <w:r>
        <w:t>•</w:t>
      </w:r>
      <w:r>
        <w:tab/>
      </w:r>
      <w:r>
        <w:rPr>
          <w:b/>
        </w:rPr>
        <w:t xml:space="preserve">Operaciones atómicas. </w:t>
      </w:r>
      <w:r>
        <w:t>Venta, despacho, verificación y reposición automática se confirm</w:t>
      </w:r>
      <w:r>
        <w:t>an completas o se revierten, incluso si falla un paso posterior.</w:t>
      </w:r>
      <w:bookmarkStart w:id="0" w:name="_GoBack"/>
      <w:bookmarkEnd w:id="0"/>
    </w:p>
    <w:sectPr w:rsidR="00A46B45">
      <w:headerReference w:type="default" r:id="rId14"/>
      <w:pgSz w:w="11906" w:h="16838"/>
      <w:pgMar w:top="1134" w:right="1134" w:bottom="1134" w:left="1134" w:header="340" w:footer="56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AC1" w:rsidRDefault="00F74AC1" w:rsidP="005F79AC">
      <w:r>
        <w:separator/>
      </w:r>
    </w:p>
  </w:endnote>
  <w:endnote w:type="continuationSeparator" w:id="0">
    <w:p w:rsidR="00F74AC1" w:rsidRDefault="00F74AC1" w:rsidP="005F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45" w:rsidRDefault="00F74AC1">
    <w:pPr>
      <w:pStyle w:val="Piedepgina"/>
      <w:jc w:val="right"/>
    </w:pPr>
    <w:r>
      <w:fldChar w:fldCharType="begin"/>
    </w:r>
    <w:r>
      <w:instrText>PAGE</w:instrText>
    </w:r>
    <w:r w:rsidR="00A16FE3">
      <w:fldChar w:fldCharType="separate"/>
    </w:r>
    <w:r w:rsidR="00C50B14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AC1" w:rsidRDefault="00F74AC1" w:rsidP="005F79AC">
      <w:r>
        <w:separator/>
      </w:r>
    </w:p>
  </w:footnote>
  <w:footnote w:type="continuationSeparator" w:id="0">
    <w:p w:rsidR="00F74AC1" w:rsidRDefault="00F74AC1" w:rsidP="005F7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AC" w:rsidRPr="005F79AC" w:rsidRDefault="005F79AC">
    <w:pPr>
      <w:pStyle w:val="Encabezado"/>
    </w:pPr>
    <w:r>
      <w:rPr>
        <w:sz w:val="20"/>
      </w:rPr>
      <w:t>Cátedra: Desarrollo de Aplicaciones con Objetos</w:t>
    </w:r>
    <w:r>
      <w:rPr>
        <w:sz w:val="20"/>
      </w:rPr>
      <w:tab/>
    </w:r>
    <w:r>
      <w:rPr>
        <w:sz w:val="20"/>
      </w:rPr>
      <w:tab/>
      <w:t>2026 - 4K3 - Grupo 84 - FRC UTN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45" w:rsidRDefault="00F74AC1">
    <w:pPr>
      <w:pStyle w:val="Encabezado"/>
      <w:tabs>
        <w:tab w:val="clear" w:pos="4680"/>
        <w:tab w:val="clear" w:pos="9360"/>
        <w:tab w:val="right" w:pos="14570"/>
      </w:tabs>
    </w:pPr>
    <w:r>
      <w:rPr>
        <w:sz w:val="20"/>
      </w:rPr>
      <w:t>Cátedra: Desarrollo de Aplicaciones con Objetos</w:t>
    </w:r>
    <w:r>
      <w:rPr>
        <w:sz w:val="20"/>
      </w:rPr>
      <w:tab/>
      <w:t>2026 - 4K3 - Grupo 84 - FRC UTN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AC" w:rsidRPr="005F79AC" w:rsidRDefault="005F79AC">
    <w:pPr>
      <w:pStyle w:val="Encabezado"/>
    </w:pPr>
    <w:r>
      <w:rPr>
        <w:sz w:val="20"/>
      </w:rPr>
      <w:t>Cátedra: Desarrollo de Aplicaciones con Objetos</w:t>
    </w:r>
    <w:r>
      <w:rPr>
        <w:sz w:val="20"/>
      </w:rPr>
      <w:tab/>
    </w:r>
    <w:r>
      <w:rPr>
        <w:sz w:val="20"/>
      </w:rPr>
      <w:tab/>
      <w:t>2026 - 4K3 - Grupo 84 - FRC UTN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891086"/>
    <w:multiLevelType w:val="multilevel"/>
    <w:tmpl w:val="1162290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113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BC"/>
    <w:rsid w:val="005F79AC"/>
    <w:rsid w:val="006E72BC"/>
    <w:rsid w:val="00936439"/>
    <w:rsid w:val="00A16FE3"/>
    <w:rsid w:val="00A46B45"/>
    <w:rsid w:val="00C50B14"/>
    <w:rsid w:val="00CA4E67"/>
    <w:rsid w:val="00F7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A0C4"/>
  <w15:docId w15:val="{8DD74D39-3880-4E81-8E9C-BF28B8C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5F79AC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79A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Integrador DAO 2026 - Grupo 84</vt:lpstr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DAO 2026 - Grupo 84</dc:title>
  <dc:creator>Grupo 84</dc:creator>
  <cp:lastModifiedBy>usuario</cp:lastModifiedBy>
  <cp:revision>3</cp:revision>
  <dcterms:created xsi:type="dcterms:W3CDTF">2026-10-20T00:42:00Z</dcterms:created>
  <dcterms:modified xsi:type="dcterms:W3CDTF">2026-11-01T18:41:00Z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2025-10-20T18:05:10Z</dcterms:modified>
  <cp:revision>1</cp:revision>
  <dc:subject/>
  <dc:title/>
</cp:coreProperties>
</file>