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13F6" w:rsidRDefault="009513F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  <w:bookmarkStart w:id="0" w:name="_GoBack"/>
      <w:bookmarkEnd w:id="0"/>
    </w:p>
    <w:tbl>
      <w:tblPr>
        <w:tblStyle w:val="a"/>
        <w:tblW w:w="9284" w:type="dxa"/>
        <w:tblInd w:w="-70" w:type="dxa"/>
        <w:tblLayout w:type="fixed"/>
        <w:tblLook w:val="0000" w:firstRow="0" w:lastRow="0" w:firstColumn="0" w:lastColumn="0" w:noHBand="0" w:noVBand="0"/>
      </w:tblPr>
      <w:tblGrid>
        <w:gridCol w:w="1630"/>
        <w:gridCol w:w="7654"/>
      </w:tblGrid>
      <w:tr w:rsidR="009513F6">
        <w:trPr>
          <w:trHeight w:val="1745"/>
        </w:trPr>
        <w:tc>
          <w:tcPr>
            <w:tcW w:w="1630" w:type="dxa"/>
          </w:tcPr>
          <w:p w:rsidR="009513F6" w:rsidRDefault="00C040CC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>
                  <wp:extent cx="1143000" cy="1419225"/>
                  <wp:effectExtent l="0" t="0" r="0" b="0"/>
                  <wp:docPr id="1" name="image1.png" descr="Descripción: C.A. M.J.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Descripción: C.A. M.J.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14192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54" w:type="dxa"/>
          </w:tcPr>
          <w:p w:rsidR="009513F6" w:rsidRDefault="009513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ascii="Federo" w:eastAsia="Federo" w:hAnsi="Federo" w:cs="Federo"/>
                <w:b/>
                <w:color w:val="000000"/>
                <w:sz w:val="28"/>
                <w:szCs w:val="28"/>
              </w:rPr>
            </w:pPr>
          </w:p>
          <w:p w:rsidR="009513F6" w:rsidRDefault="00C040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ascii="Federo" w:eastAsia="Federo" w:hAnsi="Federo" w:cs="Federo"/>
                <w:b/>
                <w:color w:val="000000"/>
                <w:sz w:val="28"/>
                <w:szCs w:val="28"/>
              </w:rPr>
            </w:pPr>
            <w:r>
              <w:rPr>
                <w:rFonts w:ascii="Federo" w:eastAsia="Federo" w:hAnsi="Federo" w:cs="Federo"/>
                <w:b/>
                <w:color w:val="000000"/>
                <w:sz w:val="28"/>
                <w:szCs w:val="28"/>
              </w:rPr>
              <w:t>COLEGIO DE ABOGADOS DE MARCOS JUAREZ</w:t>
            </w:r>
          </w:p>
          <w:p w:rsidR="009513F6" w:rsidRDefault="00C040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ascii="Federo" w:eastAsia="Federo" w:hAnsi="Federo" w:cs="Federo"/>
                <w:b/>
                <w:color w:val="000000"/>
              </w:rPr>
            </w:pPr>
            <w:r>
              <w:rPr>
                <w:rFonts w:ascii="Federo" w:eastAsia="Federo" w:hAnsi="Federo" w:cs="Federo"/>
                <w:b/>
                <w:color w:val="000000"/>
              </w:rPr>
              <w:t>Colegio Miembro de la Federación Argentina de Colegios de Abogados</w:t>
            </w:r>
          </w:p>
          <w:p w:rsidR="009513F6" w:rsidRDefault="00C040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  <w:tab w:val="left" w:pos="645"/>
              </w:tabs>
              <w:spacing w:after="0" w:line="240" w:lineRule="auto"/>
              <w:rPr>
                <w:rFonts w:ascii="Federo" w:eastAsia="Federo" w:hAnsi="Federo" w:cs="Federo"/>
                <w:b/>
                <w:color w:val="000000"/>
                <w:sz w:val="16"/>
                <w:szCs w:val="16"/>
              </w:rPr>
            </w:pPr>
            <w:r>
              <w:rPr>
                <w:rFonts w:ascii="Federo" w:eastAsia="Federo" w:hAnsi="Federo" w:cs="Federo"/>
                <w:b/>
                <w:color w:val="000000"/>
                <w:sz w:val="16"/>
                <w:szCs w:val="16"/>
              </w:rPr>
              <w:tab/>
            </w:r>
          </w:p>
          <w:p w:rsidR="009513F6" w:rsidRDefault="00C040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ascii="Federo" w:eastAsia="Federo" w:hAnsi="Federo" w:cs="Federo"/>
                <w:b/>
                <w:color w:val="000000"/>
                <w:sz w:val="16"/>
                <w:szCs w:val="16"/>
              </w:rPr>
            </w:pPr>
            <w:r>
              <w:rPr>
                <w:rFonts w:ascii="Federo" w:eastAsia="Federo" w:hAnsi="Federo" w:cs="Federo"/>
                <w:b/>
                <w:color w:val="000000"/>
                <w:sz w:val="16"/>
                <w:szCs w:val="16"/>
              </w:rPr>
              <w:t>H. Irigoyen 1154  - Tel/Fax 03472 - Tel 456949 -  (2580)  MARCOS JUÁREZ – Cba</w:t>
            </w:r>
          </w:p>
          <w:p w:rsidR="009513F6" w:rsidRDefault="00C040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ascii="Federo" w:eastAsia="Federo" w:hAnsi="Federo" w:cs="Federo"/>
                <w:b/>
                <w:color w:val="000000"/>
                <w:sz w:val="16"/>
                <w:szCs w:val="16"/>
              </w:rPr>
            </w:pPr>
            <w:hyperlink r:id="rId6">
              <w:r>
                <w:rPr>
                  <w:rFonts w:ascii="Times New Roman" w:eastAsia="Times New Roman" w:hAnsi="Times New Roman" w:cs="Times New Roman"/>
                  <w:color w:val="000000"/>
                  <w:sz w:val="16"/>
                  <w:szCs w:val="16"/>
                </w:rPr>
                <w:t>colegiomjuarez@colegioabogadosmj.com.ar</w:t>
              </w:r>
            </w:hyperlink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  </w:t>
            </w:r>
          </w:p>
          <w:p w:rsidR="009513F6" w:rsidRDefault="00C040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ascii="Federo" w:eastAsia="Federo" w:hAnsi="Federo" w:cs="Federo"/>
                <w:b/>
                <w:color w:val="000000"/>
                <w:sz w:val="16"/>
                <w:szCs w:val="16"/>
              </w:rPr>
            </w:pPr>
            <w:r>
              <w:rPr>
                <w:rFonts w:ascii="Federo" w:eastAsia="Federo" w:hAnsi="Federo" w:cs="Federo"/>
                <w:b/>
                <w:color w:val="000000"/>
                <w:sz w:val="16"/>
                <w:szCs w:val="16"/>
              </w:rPr>
              <w:t>Lardizábal 1750-Tel/fax 03472-456948-  (2580) MARCOS JUAREZ- Cba</w:t>
            </w:r>
          </w:p>
          <w:p w:rsidR="009513F6" w:rsidRDefault="00C040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hyperlink r:id="rId7">
              <w:r>
                <w:rPr>
                  <w:rFonts w:ascii="Times New Roman" w:eastAsia="Times New Roman" w:hAnsi="Times New Roman" w:cs="Times New Roman"/>
                  <w:color w:val="000000"/>
                  <w:sz w:val="16"/>
                  <w:szCs w:val="16"/>
                </w:rPr>
                <w:t>colegiomjuareztribunales@colegioabogadosmj.com.ar</w:t>
              </w:r>
            </w:hyperlink>
          </w:p>
          <w:p w:rsidR="009513F6" w:rsidRDefault="00C040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Federo" w:eastAsia="Federo" w:hAnsi="Federo" w:cs="Federo"/>
                <w:b/>
                <w:color w:val="000000"/>
                <w:sz w:val="16"/>
                <w:szCs w:val="16"/>
              </w:rPr>
              <w:t>Av. Santa Fe Nº 253 - Tel/Fax: 03468-409389 –(2645) CORRAL DE BUSTOS –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Cba</w:t>
            </w:r>
          </w:p>
          <w:p w:rsidR="009513F6" w:rsidRDefault="00C040CC">
            <w:pP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ascii="Federo" w:eastAsia="Federo" w:hAnsi="Federo" w:cs="Federo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abogcdb@gmail.com</w:t>
            </w:r>
          </w:p>
        </w:tc>
      </w:tr>
    </w:tbl>
    <w:p w:rsidR="009513F6" w:rsidRDefault="009513F6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  <w:u w:val="single"/>
        </w:rPr>
      </w:pPr>
    </w:p>
    <w:p w:rsidR="009513F6" w:rsidRDefault="00C040CC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  <w:u w:val="single"/>
        </w:rPr>
      </w:pPr>
      <w:r>
        <w:rPr>
          <w:rFonts w:ascii="Arial" w:eastAsia="Arial" w:hAnsi="Arial" w:cs="Arial"/>
          <w:b/>
          <w:sz w:val="24"/>
          <w:szCs w:val="24"/>
          <w:u w:val="single"/>
        </w:rPr>
        <w:t>REGLAMENTO DE SERVICIO DE CONSTITUCIÓN DE DOMICILIO Y RECEPCIÓN DE CEDULAS DE NOTIFICACIÓN</w:t>
      </w:r>
    </w:p>
    <w:p w:rsidR="009513F6" w:rsidRDefault="00C040CC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ARTICULO 1:</w:t>
      </w:r>
      <w:r>
        <w:rPr>
          <w:rFonts w:ascii="Arial" w:eastAsia="Arial" w:hAnsi="Arial" w:cs="Arial"/>
          <w:sz w:val="24"/>
          <w:szCs w:val="24"/>
        </w:rPr>
        <w:t xml:space="preserve"> Créase el servicio de constitución de domicilio procesal y recepción de notificaciones judiciales en el Colegio de Abogados de Marcos Juárez y Delegación Corral de Bustos.</w:t>
      </w:r>
    </w:p>
    <w:p w:rsidR="009513F6" w:rsidRDefault="00C040CC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ARTICULO 2:</w:t>
      </w:r>
      <w:r>
        <w:rPr>
          <w:rFonts w:ascii="Arial" w:eastAsia="Arial" w:hAnsi="Arial" w:cs="Arial"/>
          <w:sz w:val="24"/>
          <w:szCs w:val="24"/>
        </w:rPr>
        <w:t xml:space="preserve"> El Colegio, como prestador, brindará el servicio mencionado en el artíc</w:t>
      </w:r>
      <w:r>
        <w:rPr>
          <w:rFonts w:ascii="Arial" w:eastAsia="Arial" w:hAnsi="Arial" w:cs="Arial"/>
          <w:sz w:val="24"/>
          <w:szCs w:val="24"/>
        </w:rPr>
        <w:t>ulo 1 al letrado que lo peticione, debiendo el mismo, antes de constituir domicilio procesal en el Colegio o Delegación, suscribir un convenio y cumplir con todos los requisitos dispuesto en el presente.</w:t>
      </w:r>
    </w:p>
    <w:p w:rsidR="009513F6" w:rsidRDefault="00C040CC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ARTICULO 3:</w:t>
      </w:r>
      <w:r>
        <w:rPr>
          <w:rFonts w:ascii="Arial" w:eastAsia="Arial" w:hAnsi="Arial" w:cs="Arial"/>
          <w:sz w:val="24"/>
          <w:szCs w:val="24"/>
        </w:rPr>
        <w:t xml:space="preserve"> La función del prestador se limita a la </w:t>
      </w:r>
      <w:r>
        <w:rPr>
          <w:rFonts w:ascii="Arial" w:eastAsia="Arial" w:hAnsi="Arial" w:cs="Arial"/>
          <w:sz w:val="24"/>
          <w:szCs w:val="24"/>
        </w:rPr>
        <w:t xml:space="preserve">constitución de un domicilio ad litem dentro del radio de los </w:t>
      </w:r>
      <w:r>
        <w:rPr>
          <w:rFonts w:ascii="Arial" w:eastAsia="Arial" w:hAnsi="Arial" w:cs="Arial"/>
          <w:b/>
          <w:sz w:val="24"/>
          <w:szCs w:val="24"/>
        </w:rPr>
        <w:t>Tribunales Ordinarios de la ciudad de Marcos Juárez y/o la ciudad de Corral de Bustos</w:t>
      </w:r>
      <w:r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color w:val="000000"/>
          <w:sz w:val="24"/>
          <w:szCs w:val="24"/>
        </w:rPr>
        <w:t>dependiendo</w:t>
      </w:r>
      <w:r>
        <w:rPr>
          <w:rFonts w:ascii="Arial" w:eastAsia="Arial" w:hAnsi="Arial" w:cs="Arial"/>
          <w:color w:val="FF000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donde se constituya, para la recepción de cédulas de notificación. El Colegio le comunicará al </w:t>
      </w:r>
      <w:r>
        <w:rPr>
          <w:rFonts w:ascii="Arial" w:eastAsia="Arial" w:hAnsi="Arial" w:cs="Arial"/>
          <w:sz w:val="24"/>
          <w:szCs w:val="24"/>
        </w:rPr>
        <w:t xml:space="preserve">letrado contratante, que cumpla con los requisitos dispuestos en el presente, mediante el medio de comunicación denunciado en su declaración jurada y convenio celebrado con el colegio, la/s cédula/s de notificación </w:t>
      </w:r>
      <w:r>
        <w:rPr>
          <w:rFonts w:ascii="Arial" w:eastAsia="Arial" w:hAnsi="Arial" w:cs="Arial"/>
          <w:color w:val="000000"/>
          <w:sz w:val="24"/>
          <w:szCs w:val="24"/>
        </w:rPr>
        <w:t>recibida/s.</w:t>
      </w:r>
      <w:r>
        <w:rPr>
          <w:rFonts w:ascii="Arial" w:eastAsia="Arial" w:hAnsi="Arial" w:cs="Arial"/>
          <w:sz w:val="24"/>
          <w:szCs w:val="24"/>
        </w:rPr>
        <w:t xml:space="preserve"> Dicha comunicación implica so</w:t>
      </w:r>
      <w:r>
        <w:rPr>
          <w:rFonts w:ascii="Arial" w:eastAsia="Arial" w:hAnsi="Arial" w:cs="Arial"/>
          <w:sz w:val="24"/>
          <w:szCs w:val="24"/>
        </w:rPr>
        <w:t xml:space="preserve">lo el aviso de la notificación </w:t>
      </w:r>
      <w:r>
        <w:rPr>
          <w:rFonts w:ascii="Arial" w:eastAsia="Arial" w:hAnsi="Arial" w:cs="Arial"/>
          <w:color w:val="000000"/>
          <w:sz w:val="24"/>
          <w:szCs w:val="24"/>
        </w:rPr>
        <w:t>recepcionada,</w:t>
      </w:r>
      <w:r>
        <w:rPr>
          <w:rFonts w:ascii="Arial" w:eastAsia="Arial" w:hAnsi="Arial" w:cs="Arial"/>
          <w:sz w:val="24"/>
          <w:szCs w:val="24"/>
        </w:rPr>
        <w:t xml:space="preserve"> sin la documental que la misma pueda llegar a contener. Si en la cédula de notificación no se encontrara individualizado el letrado que contrató el presente servicio y/o figurara un letrado que no posee convenio</w:t>
      </w:r>
      <w:r>
        <w:rPr>
          <w:rFonts w:ascii="Arial" w:eastAsia="Arial" w:hAnsi="Arial" w:cs="Arial"/>
          <w:sz w:val="24"/>
          <w:szCs w:val="24"/>
        </w:rPr>
        <w:t xml:space="preserve"> celebrado con el Colegio para la prestación del servicio, incluyendo a los colegiados, no existe obligación alguna del Colegio y/o sus dependientes de comunicar la recepción de la misma, renunciado a todo planteo o reclamo alguno.</w:t>
      </w:r>
    </w:p>
    <w:p w:rsidR="009513F6" w:rsidRDefault="00C040CC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ARTICULO 4:</w:t>
      </w:r>
      <w:r>
        <w:rPr>
          <w:rFonts w:ascii="Arial" w:eastAsia="Arial" w:hAnsi="Arial" w:cs="Arial"/>
          <w:sz w:val="24"/>
          <w:szCs w:val="24"/>
        </w:rPr>
        <w:t xml:space="preserve"> El prestador</w:t>
      </w:r>
      <w:r>
        <w:rPr>
          <w:rFonts w:ascii="Arial" w:eastAsia="Arial" w:hAnsi="Arial" w:cs="Arial"/>
          <w:sz w:val="24"/>
          <w:szCs w:val="24"/>
        </w:rPr>
        <w:t xml:space="preserve"> no asume ninguna responsabilidad por pérdidas, errores en la distribución de las cédulas, falta o error en la designación exacta </w:t>
      </w:r>
      <w:r>
        <w:rPr>
          <w:rFonts w:ascii="Arial" w:eastAsia="Arial" w:hAnsi="Arial" w:cs="Arial"/>
          <w:sz w:val="24"/>
          <w:szCs w:val="24"/>
        </w:rPr>
        <w:lastRenderedPageBreak/>
        <w:t>del letrado en la cédula, ni por ningún otro evento o circunstancia que dificulte o impida, la recepción, comunicación o retir</w:t>
      </w:r>
      <w:r>
        <w:rPr>
          <w:rFonts w:ascii="Arial" w:eastAsia="Arial" w:hAnsi="Arial" w:cs="Arial"/>
          <w:sz w:val="24"/>
          <w:szCs w:val="24"/>
        </w:rPr>
        <w:t>o de la cédula o que pudiere derivar de la presente solicitud. La firma del presente reglamento como así también el convenio importa la renuncia irrevocable a toda acción civil y/o penal contra el Colegio y/o sus dependientes y/o directivos derivada de est</w:t>
      </w:r>
      <w:r>
        <w:rPr>
          <w:rFonts w:ascii="Arial" w:eastAsia="Arial" w:hAnsi="Arial" w:cs="Arial"/>
          <w:sz w:val="24"/>
          <w:szCs w:val="24"/>
        </w:rPr>
        <w:t xml:space="preserve">e servicio. </w:t>
      </w:r>
    </w:p>
    <w:p w:rsidR="009513F6" w:rsidRDefault="00C040CC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ARTÍCULO 5:</w:t>
      </w:r>
      <w:r>
        <w:rPr>
          <w:rFonts w:ascii="Arial" w:eastAsia="Arial" w:hAnsi="Arial" w:cs="Arial"/>
          <w:sz w:val="24"/>
          <w:szCs w:val="24"/>
        </w:rPr>
        <w:t xml:space="preserve"> El servicio brindado será semestral o anual, según los soliciten y deberá el prestatario renovar el contrato antes de la fecha de vencimiento, bajo apercibimientos de cancelación del mismo, aunque el mismo no tuviere costo. No exis</w:t>
      </w:r>
      <w:r>
        <w:rPr>
          <w:rFonts w:ascii="Arial" w:eastAsia="Arial" w:hAnsi="Arial" w:cs="Arial"/>
          <w:sz w:val="24"/>
          <w:szCs w:val="24"/>
        </w:rPr>
        <w:t xml:space="preserve">te renovación automática. Vencido el plazo para su renovación, el Colegio dejará de prestar el servicio indicado sin que ello implique responsabilidad alguna por las cédulas de notificación que continuaran recibiéndose, o por extravío o destrucción de las </w:t>
      </w:r>
      <w:r>
        <w:rPr>
          <w:rFonts w:ascii="Arial" w:eastAsia="Arial" w:hAnsi="Arial" w:cs="Arial"/>
          <w:sz w:val="24"/>
          <w:szCs w:val="24"/>
        </w:rPr>
        <w:t>mismas.</w:t>
      </w:r>
    </w:p>
    <w:p w:rsidR="009513F6" w:rsidRDefault="00C040CC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ARTÍCULO 6:</w:t>
      </w:r>
      <w:r>
        <w:rPr>
          <w:rFonts w:ascii="Arial" w:eastAsia="Arial" w:hAnsi="Arial" w:cs="Arial"/>
          <w:sz w:val="24"/>
          <w:szCs w:val="24"/>
        </w:rPr>
        <w:t xml:space="preserve"> El presente servicio será sin costo para los letrados que se encuentren matriculados en el Colegio de Abogados de Marcos Juárez. </w:t>
      </w:r>
    </w:p>
    <w:p w:rsidR="009513F6" w:rsidRDefault="00C040CC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ARTÍCULO 7:</w:t>
      </w:r>
      <w:r>
        <w:rPr>
          <w:rFonts w:ascii="Arial" w:eastAsia="Arial" w:hAnsi="Arial" w:cs="Arial"/>
          <w:sz w:val="24"/>
          <w:szCs w:val="24"/>
        </w:rPr>
        <w:t xml:space="preserve"> Es obligación de los letrados prestatarios mantener actualizados los datos que figuren en el c</w:t>
      </w:r>
      <w:r>
        <w:rPr>
          <w:rFonts w:ascii="Arial" w:eastAsia="Arial" w:hAnsi="Arial" w:cs="Arial"/>
          <w:sz w:val="24"/>
          <w:szCs w:val="24"/>
        </w:rPr>
        <w:t>onvenio a suscribir y/o informar si existieren problemas para que la comunicación de las cédulas se lleve a cabo. A tal fin cualquier modificación y/o impedimento deberá comunicarse inmediatamente al Colegio por medio fehaciente, y en caso de que la modifi</w:t>
      </w:r>
      <w:r>
        <w:rPr>
          <w:rFonts w:ascii="Arial" w:eastAsia="Arial" w:hAnsi="Arial" w:cs="Arial"/>
          <w:sz w:val="24"/>
          <w:szCs w:val="24"/>
        </w:rPr>
        <w:t xml:space="preserve">cación resulte permanente, realizar una nueva declaración jurada. El incumplimiento del presente deslinda al prestador de toda responsabilidad. </w:t>
      </w:r>
    </w:p>
    <w:p w:rsidR="009513F6" w:rsidRDefault="00C040CC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ARTÍCULO 8:</w:t>
      </w:r>
      <w:r>
        <w:rPr>
          <w:rFonts w:ascii="Arial" w:eastAsia="Arial" w:hAnsi="Arial" w:cs="Arial"/>
          <w:sz w:val="24"/>
          <w:szCs w:val="24"/>
        </w:rPr>
        <w:t xml:space="preserve"> El prestador determinará el monto y modalidad del pago del servicio.</w:t>
      </w:r>
    </w:p>
    <w:p w:rsidR="009513F6" w:rsidRDefault="00C040CC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DE CONFORMIDAD Y DECLARANDO BA</w:t>
      </w:r>
      <w:r>
        <w:rPr>
          <w:rFonts w:ascii="Arial" w:eastAsia="Arial" w:hAnsi="Arial" w:cs="Arial"/>
          <w:sz w:val="24"/>
          <w:szCs w:val="24"/>
        </w:rPr>
        <w:t>JO JURAMENTO ENTENDER Y COMPRENDER EL PRESENTE, SE SUSCRIBE EL MISMO CONJUNTAMENTE CON EL CONVENIO.</w:t>
      </w:r>
    </w:p>
    <w:p w:rsidR="009513F6" w:rsidRDefault="00C040CC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Marcos Juárez, …… de ……………………..……… de 20…..</w:t>
      </w:r>
    </w:p>
    <w:p w:rsidR="009513F6" w:rsidRDefault="009513F6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sectPr w:rsidR="009513F6">
      <w:pgSz w:w="11907" w:h="16840"/>
      <w:pgMar w:top="1701" w:right="1134" w:bottom="1134" w:left="2268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edero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9513F6"/>
    <w:rsid w:val="009513F6"/>
    <w:rsid w:val="00C04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040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40C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040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40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colegiomjuareztribunales@colegioabogadosmj.com.ar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colegiomjuarez@colegioabogadosmj.com.ar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639</Words>
  <Characters>3518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2025-02-07T14:18:00Z</dcterms:created>
  <dcterms:modified xsi:type="dcterms:W3CDTF">2025-02-07T14:18:00Z</dcterms:modified>
</cp:coreProperties>
</file>