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/>
        <w:ind w:left="1872"/>
        <w:jc w:val="left"/>
      </w:pPr>
      <w:r>
        <w:rPr>
          <w:rFonts w:ascii="Arial" w:hAnsi="Arial" w:cs="Arial" w:eastAsia="Arial"/>
          <w:b w:val="on"/>
          <w:i w:val="off"/>
          <w:sz w:val="40"/>
          <w:color w:val="000000"/>
        </w:rPr>
        <w:t>OFFICIAL DOCUMENT CERTIFICATE</w:t>
      </w:r>
    </w:p>
    <w:p>
      <w:pPr>
        <w:spacing w:after="120"/>
        <w:ind w:left="936"/>
        <w:jc w:val="left"/>
      </w:pPr>
      <w:r>
        <w:rPr>
          <w:rFonts w:ascii="Calibri" w:hAnsi="Calibri" w:cs="Calibri" w:eastAsia="Calibri"/>
          <w:b w:val="off"/>
          <w:i w:val="off"/>
          <w:sz w:val="20"/>
          <w:color w:val="333333"/>
        </w:rPr>
        <w:t>This certifies that the digital artifacts generated inside this workspace comply with high-fidelity formatting standards. The system automatically handles signatures and overlapping colored stamps.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2026-05-31T00:06:26Z</dcterms:created>
  <dc:creator>Apache POI</dc:creator>
</cp:coreProperties>
</file>