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/>
        <w:ind w:left="1872"/>
        <w:jc w:val="left"/>
      </w:pPr>
      <w:r>
        <w:rPr>
          <w:rFonts w:ascii="Arial" w:hAnsi="Arial" w:cs="Arial" w:eastAsia="Arial"/>
          <w:b w:val="on"/>
          <w:i w:val="off"/>
          <w:sz w:val="40"/>
          <w:color w:val="000000"/>
        </w:rPr>
        <w:t>CERTIFICADO DE DOCUMENTO OFICIAL</w:t>
      </w:r>
    </w:p>
    <w:p>
      <w:pPr>
        <w:spacing w:after="120"/>
        <w:ind w:left="936"/>
        <w:jc w:val="left"/>
      </w:pPr>
      <w:r>
        <w:rPr>
          <w:rFonts w:ascii="Calibri" w:hAnsi="Calibri" w:cs="Calibri" w:eastAsia="Calibri"/>
          <w:b w:val="off"/>
          <w:i w:val="off"/>
          <w:sz w:val="20"/>
          <w:color w:val="333333"/>
        </w:rPr>
        <w:t>Esto certifica que los artefactos digitales generados dentro de este espacio de trabajo cumplen con estándares de formato de alta fidelidad. El sistema maneja automáticamente firmas y sellos de colores superpuestos.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2026-05-31T00:06:27Z</dcterms:created>
  <dc:creator>Apache POI</dc:creator>
</cp:coreProperties>
</file>