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tbl>
      <w:tblPr>
        <w:tblW w:w="11159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/>
      </w:tblPr>
      <w:tr>
        <w:tc>
          <w:tcPr>
            <w:tcW w:w="2275" w:type="dxa"/>
          </w:tcPr>
          <w:p>
            <w:pPr>
              <w:spacing w:before="0" w:after="0"/>
            </w:pPr>
          </w:p>
        </w:tc>
        <w:tc>
          <w:tcPr>
            <w:tcW w:w="2941" w:type="dxa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off"/>
                <w:i w:val="off"/>
                <w:sz w:val="22"/>
                <w:color w:val="000000"/>
              </w:rPr>
              <w:t space="preserve">GJVR/MXNG/1001307073/20240070</w:t>
            </w:r>
          </w:p>
        </w:tc>
        <w:tc>
          <w:tcPr>
            <w:tcW w:w="1589" w:type="dxa"/>
          </w:tcPr>
          <w:p>
            <w:pPr>
              <w:spacing w:before="0" w:after="0"/>
            </w:pPr>
          </w:p>
        </w:tc>
        <w:tc>
          <w:tcPr>
            <w:tcW w:w="4353" w:type="dxa"/>
          </w:tcPr>
          <w:p>
            <w:pPr>
              <w:spacing w:before="0" w:after="0"/>
            </w:pPr>
            <w:r>
              <w:rPr>
                <w:rFonts w:ascii="Calibri" w:hAnsi="Calibri" w:cs="Calibri" w:eastAsia="Calibri"/>
                <w:b w:val="on"/>
                <w:i w:val="off"/>
                <w:sz w:val="48"/>
                <w:color w:val="000000"/>
              </w:rPr>
              <w:t space="preserve">NORTON</w:t>
            </w:r>
            <w:r>
              <w:rPr>
                <w:rFonts w:ascii="Calibri" w:hAnsi="Calibri" w:cs="Calibri" w:eastAsia="Calibri"/>
                <w:b w:val="on"/>
                <w:i w:val="off"/>
                <w:sz w:val="48"/>
                <w:color w:val="000000"/>
              </w:rPr>
              <w:t xml:space="preserve" space="preserve"> </w:t>
            </w:r>
            <w:r>
              <w:rPr>
                <w:rFonts w:ascii="Calibri" w:hAnsi="Calibri" w:cs="Calibri" w:eastAsia="Calibri"/>
                <w:b w:val="on"/>
                <w:i w:val="off"/>
                <w:sz w:val="48"/>
                <w:color w:val="000000"/>
              </w:rPr>
              <w:t space="preserve">ROSE</w:t>
            </w:r>
            <w:r>
              <w:rPr>
                <w:rFonts w:ascii="Calibri" w:hAnsi="Calibri" w:cs="Calibri" w:eastAsia="Calibri"/>
                <w:b w:val="on"/>
                <w:i w:val="off"/>
                <w:sz w:val="48"/>
                <w:color w:val="000000"/>
              </w:rPr>
              <w:t xml:space="preserve" space="preserve"> </w:t>
            </w:r>
            <w:r>
              <w:rPr>
                <w:rFonts w:ascii="Calibri" w:hAnsi="Calibri" w:cs="Calibri" w:eastAsia="Calibri"/>
                <w:b w:val="on"/>
                <w:i w:val="off"/>
                <w:sz w:val="48"/>
                <w:color w:val="000000"/>
              </w:rPr>
              <w:t space="preserve">FULBRIGHT</w:t>
            </w:r>
            <w:r>
              <w:drawing>
                <wp:anchor simplePos="false" relativeHeight="251658240" behindDoc="true" locked="false" layoutInCell="true" allowOverlap="true" distT="0" distB="0" distL="0" distR="0">
                  <wp:simplePos x="0" y="0"/>
                  <wp:positionH relativeFrom="page">
                    <wp:posOffset>564125</wp:posOffset>
                  </wp:positionH>
                  <wp:positionV relativeFrom="page">
                    <wp:posOffset>487853</wp:posOffset>
                  </wp:positionV>
                  <wp:extent cx="1244600" cy="1282700"/>
                  <wp:wrapNone/>
                  <wp:docPr id="0" name="Drawing 0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0" descr="artifact_3.png"/>
                          <pic:cNvPicPr>
                            <a:picLocks noChangeAspect="true"/>
                          </pic:cNvPicPr>
                        </pic:nvPicPr>
                        <pic:blipFill>
                          <a:blip r:embed="rId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4600" cy="12827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anchor>
              </w:drawing>
            </w:r>
          </w:p>
        </w:tc>
      </w:tr>
    </w:tbl>
    <w:p>
      <w:pPr>
        <w:spacing w:before="714" w:after="0"/>
      </w:pPr>
      <w:r>
        <w:rPr>
          <w:sz w:val="2"/>
        </w:rPr>
      </w:r>
    </w:p>
    <w:p>
      <w:pPr>
        <w:spacing w:before="483" w:after="0"/>
        <w:ind w:left="6796"/>
      </w:pP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Norton Rose Fulbright LLP </w:t>
      </w:r>
      <w:r>
        <w:rPr>
          <w:rFonts w:ascii="Calibri" w:hAnsi="Calibri" w:cs="Calibri" w:eastAsia="Calibri"/>
          <w:b w:val="on"/>
          <w:i w:val="off"/>
          <w:sz w:val="20"/>
          <w:color w:val="000000"/>
        </w:rPr>
        <w:t space="preserve">Abogados, Notarios y</w:t>
      </w: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 </w:t>
      </w:r>
      <w:r>
        <w:rPr>
          <w:rFonts w:ascii="Calibri" w:hAnsi="Calibri" w:cs="Calibri" w:eastAsia="Calibri"/>
          <w:b w:val="on"/>
          <w:i w:val="off"/>
          <w:sz w:val="20"/>
          <w:color w:val="000000"/>
        </w:rPr>
        <w:t space="preserve">Solicitors</w:t>
      </w: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 2Ámsterdam, planta 15 Eduard Van Beinumstraat 34 1077 CZ Ámsterdam Apartado de correos 94142, 1090 GC Ámsterdam Países Bajos</w:t>
      </w:r>
    </w:p>
    <w:p>
      <w:pPr>
        <w:spacing w:before="1709" w:after="0"/>
        <w:ind w:left="2275"/>
      </w:pP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CERTIFICADO DE CONFORMIDAD, de conformidad con el artículo 49, apartado 3, de la Ley de Notarios de los Países Bajos </w:t>
      </w:r>
      <w:r>
        <w:rPr>
          <w:rFonts w:ascii="Calibri" w:hAnsi="Calibri" w:cs="Calibri" w:eastAsia="Calibri"/>
          <w:b w:val="off"/>
          <w:i w:val="on"/>
          <w:sz w:val="20"/>
          <w:color w:val="000000"/>
        </w:rPr>
        <w:t space="preserve">(Wet op het Notarisambt),</w:t>
      </w:r>
      <w:r>
        <w:rPr>
          <w:rFonts w:ascii="Calibri" w:hAnsi="Calibri" w:cs="Calibri" w:eastAsia="Calibri"/>
          <w:b w:val="off"/>
          <w:i w:val="off"/>
          <w:sz w:val="20"/>
          <w:color w:val="000000"/>
        </w:rPr>
        <w:t xml:space="preserve" space="preserve"> de un documento que se utilizó en una formalización celebrada en nuestro despacho el 6 de enero de 2025, por mí, Geert-Jan van Rijthoven, notario de Ámsterdam, Países Bajos. La presente declaración no contiene, en modo alguno, juicio alguno sobre el contenido de dicho documento.</w:t>
      </w:r>
    </w:p>
    <w:p>
      <w:pPr>
        <w:spacing w:before="403" w:after="0"/>
        <w:ind w:left="2275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Ámsterdam, Países Bajos, 7 de mayo de 2026.</w:t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1454190</wp:posOffset>
            </wp:positionH>
            <wp:positionV relativeFrom="page">
              <wp:posOffset>4775228</wp:posOffset>
            </wp:positionV>
            <wp:extent cx="1930400" cy="1765300"/>
            <wp:wrapNone/>
            <wp:docPr id="1" name="Drawing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tifact_2.png"/>
                    <pic:cNvPicPr>
                      <a:picLocks noChangeAspect="true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930400" cy="17653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2444545</wp:posOffset>
            </wp:positionH>
            <wp:positionV relativeFrom="page">
              <wp:posOffset>5418048</wp:posOffset>
            </wp:positionV>
            <wp:extent cx="4559300" cy="2476500"/>
            <wp:wrapNone/>
            <wp:docPr id="2" name="Drawing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artifact_1.png"/>
                    <pic:cNvPicPr>
                      <a:picLocks noChangeAspect="true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45593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spacing w:before="7741" w:after="0"/>
        <w:ind w:left="11292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1</w:t>
      </w:r>
    </w:p>
    <w:p>
      <w:r>
        <w:br w:type="page"/>
      </w:r>
    </w:p>
    <w:p>
      <w:pPr>
        <w:spacing w:before="1152" w:after="0"/>
        <w:ind w:left="3346"/>
      </w:pPr>
      <w:r>
        <w:rPr>
          <w:rFonts w:ascii="Calibri" w:hAnsi="Calibri" w:cs="Calibri" w:eastAsia="Calibri"/>
          <w:b w:val="on"/>
          <w:i w:val="off"/>
          <w:sz w:val="48"/>
          <w:color w:val="000000"/>
        </w:rPr>
        <w:t space="preserve">APOSTILLA</w:t>
      </w:r>
    </w:p>
    <w:p>
      <w:pPr>
        <w:spacing w:before="145" w:after="0"/>
        <w:ind w:left="2314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(Convenio de La Haya de 5 de octubre de 1961)</w:t>
      </w:r>
    </w:p>
    <w:p>
      <w:pPr>
        <w:spacing w:before="86" w:after="0"/>
        <w:ind w:left="1890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1. País: PAÍSES BAJOS</w:t>
      </w:r>
    </w:p>
    <w:p>
      <w:pPr>
        <w:spacing w:before="0" w:after="0"/>
        <w:ind w:left="2230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Este documento público</w:t>
      </w:r>
    </w:p>
    <w:p>
      <w:pPr>
        <w:spacing w:before="0" w:after="0"/>
        <w:ind w:left="1870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2. ha sido firmado por el Sr. G.J. van Rijthoven</w:t>
      </w:r>
    </w:p>
    <w:p>
      <w:pPr>
        <w:spacing w:before="0" w:after="0"/>
        <w:ind w:left="1865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3. ejercer como notario en Ámsterdam</w:t>
      </w:r>
    </w:p>
    <w:p>
      <w:pPr>
        <w:spacing w:before="0" w:after="0"/>
        <w:ind w:left="1875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4. lleva el sello del notario mencionado</w:t>
      </w:r>
    </w:p>
    <w:p>
      <w:pPr>
        <w:spacing w:before="140" w:after="0"/>
        <w:ind w:left="3652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Certificado</w:t>
      </w:r>
    </w:p>
    <w:p>
      <w:pPr>
        <w:spacing w:before="145" w:after="0"/>
        <w:ind w:left="1831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5. en Ámsterdam 6. el 8 de mayo de 2026</w:t>
      </w:r>
    </w:p>
    <w:p>
      <w:pPr>
        <w:spacing w:before="0" w:after="0"/>
        <w:ind w:left="1826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7. por el secretario del Juzgado de Primera Instancia de Ámsterdam</w:t>
      </w:r>
    </w:p>
    <w:p>
      <w:pPr>
        <w:spacing w:before="0" w:after="0"/>
        <w:ind w:left="1831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8. n.º 11501</w:t>
      </w:r>
    </w:p>
    <w:p>
      <w:pPr>
        <w:spacing w:before="141" w:after="0"/>
        <w:ind w:left="1781"/>
      </w:pPr>
      <w:r>
        <w:rPr>
          <w:rFonts w:ascii="Calibri" w:hAnsi="Calibri" w:cs="Calibri" w:eastAsia="Calibri"/>
          <w:b w:val="off"/>
          <w:i w:val="off"/>
          <w:sz w:val="22"/>
          <w:color w:val="000000"/>
        </w:rPr>
        <w:t space="preserve">9. Sello: 10. Firma:</w:t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2457081</wp:posOffset>
            </wp:positionH>
            <wp:positionV relativeFrom="page">
              <wp:posOffset>2640150</wp:posOffset>
            </wp:positionV>
            <wp:extent cx="1727200" cy="1549400"/>
            <wp:wrapNone/>
            <wp:docPr id="3" name="Drawing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artifact_2.png"/>
                    <pic:cNvPicPr>
                      <a:picLocks noChangeAspect="true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727200" cy="1549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drawing>
          <wp:anchor simplePos="false" relativeHeight="251658240" behindDoc="true" locked="false" layoutInCell="true" allowOverlap="true" distT="0" distB="0" distL="0" distR="0">
            <wp:simplePos x="0" y="0"/>
            <wp:positionH relativeFrom="page">
              <wp:posOffset>702023</wp:posOffset>
            </wp:positionH>
            <wp:positionV relativeFrom="page">
              <wp:posOffset>3219835</wp:posOffset>
            </wp:positionV>
            <wp:extent cx="1930400" cy="1803400"/>
            <wp:wrapNone/>
            <wp:docPr id="4" name="Drawing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artifact_1.png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930400" cy="1803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>
      <w:pgMar w:top="0" w:bottom="0" w:left="0" w:right="0"/>
    </w:sectPr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media/image1.png" Type="http://schemas.openxmlformats.org/officeDocument/2006/relationships/image"/><Relationship Id="rId3" Target="media/image2.png" Type="http://schemas.openxmlformats.org/officeDocument/2006/relationships/image"/><Relationship Id="rId4" Target="media/image3.png" Type="http://schemas.openxmlformats.org/officeDocument/2006/relationships/image"/><Relationship Id="rId5" Target="media/image4.png" Type="http://schemas.openxmlformats.org/officeDocument/2006/relationships/image"/><Relationship Id="rId6" Target="media/image5.png" Type="http://schemas.openxmlformats.org/officeDocument/2006/relationships/image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2026-06-03T01:32:49Z</dcterms:created>
  <dc:creator>Apache POI</dc:creator>
</cp:coreProperties>
</file>