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b/>
          <w:bCs/>
          <w:color w:val="6B3A2A"/>
          <w:sz w:val="56"/>
          <w:szCs w:val="56"/>
        </w:rPr>
        <w:t xml:space="preserve">CancelIQ</w:t>
      </w:r>
    </w:p>
    <w:p>
      <w:pPr>
        <w:spacing w:after="40"/>
        <w:jc w:val="center"/>
      </w:pPr>
      <w:r>
        <w:rPr>
          <w:b/>
          <w:bCs/>
          <w:color w:val="2B2620"/>
          <w:sz w:val="30"/>
          <w:szCs w:val="30"/>
        </w:rPr>
        <w:t xml:space="preserve">Hotel Booking Cancellation Intelligence Platform</w:t>
      </w:r>
    </w:p>
    <w:p>
      <w:pPr>
        <w:spacing w:after="400"/>
        <w:jc w:val="center"/>
      </w:pPr>
      <w:r>
        <w:rPr>
          <w:i/>
          <w:iCs/>
          <w:color w:val="6B6560"/>
          <w:sz w:val="20"/>
          <w:szCs w:val="20"/>
        </w:rPr>
        <w:t xml:space="preserve">Predictive Analytics · Revenue-at-Risk Modeling · Explainable AI · BI Dashboard · AI Copilot</w:t>
      </w:r>
    </w:p>
    <w:p>
      <w:pPr>
        <w:spacing w:after="600"/>
        <w:jc w:val="center"/>
      </w:pPr>
      <w:r>
        <w:rPr>
          <w:color w:val="6B6560"/>
          <w:sz w:val="18"/>
          <w:szCs w:val="18"/>
        </w:rPr>
        <w:t xml:space="preserve">Project Report  |  Data Mining &amp; Visualization — MTC Digilians Program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Executive Summary</w:t>
      </w:r>
    </w:p>
    <w:p>
      <w:pPr>
        <w:spacing w:after="160" w:line="300"/>
      </w:pPr>
      <w:r>
        <w:rPr>
          <w:color w:val="2B2620"/>
          <w:sz w:val="22"/>
          <w:szCs w:val="22"/>
        </w:rPr>
        <w:t>Hotels face revenue and planning uncertainty when bookings are cancelled. CancelIQ analyses 119,389 cleaned historical booking rows, predicts cancellation risk with a calibrated XGBoost model, estimates financial exposure, and makes the results accessible through a Power BI dashboard and a bilingual browser assistant. The project spans data cleaning, statistical analysis, temporal validation, model comparison and a booking risk calculator. An optional local data API supports free-form questions, with Gemini available when its server-side key is configured.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1. Business Problem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The hotel needed answers to six practical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bookings are likely to be cancelled?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much revenue is at risk from those cancellations?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factors actually drive cancellation behaviour?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specific bookings or customers need proactive attention?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operational patterns can the hotel improve?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can historical booking data support better day-to-day decisions?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2. Data Understanding &amp; Cleaning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The raw dataset (36 columns, 119,390 rows) was cleaned deliberately rather than with a blanket dropna(). Missingness itself was treated as signal where relevant, and every decision was justified against the business context: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6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company missing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94.31% missing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Recoded as "No Company" — 38.22% cancel rate when missing vs 17.52% when present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agent missing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13.69% missing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Recoded as "No Agent" — 24.66% vs 39.00% cancel rate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country missing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0.41% missing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Recoded as "Unknown"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children missing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4 rows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Filled with 0, based on booking context, not asserted as certain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Duplicates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 exact duplicates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None removed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Undefined categories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meal, market_segment, distribution_channel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Standardized to "Unknown"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Negative ADR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1 row (adr = -6.38)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Removed as invalid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Extreme ADR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max 5,400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Kept — no evidence of entry error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Zero-night bookings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715 rows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Kept — legitimate for cancellations/no-shows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Outliers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thousands flagged by IQR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Investigated individually, not auto-removed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PII (name, email, phone, card)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present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Dropped entirely from the analytical dataset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Leakage (reservation_status, date)</w:t>
            </w:r>
          </w:p>
        </w:tc>
        <w:tc>
          <w:tcPr>
            <w:tcW w:type="dxa" w:w="34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near-perfect mapping to target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Dropped — post-outcome information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B3A2A"/>
        </w:rPr>
        <w:t xml:space="preserve">3. Feature Engineering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New features were built with business meaning, not just statistical convenience: total_guests, total_nights, estimated_revenue (ADR × nights), party_size_category, stay_type, lead_time_category, has_booking_changes, has_previous_cancellation, has_special_requests, requires_parking, room_type_changed — plus, at the modeling stage, guest_cancellation_rate, adr_per_person, and cyclical (sin/cos) encoding of arrival month.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A correlation heatmap caught redundant feature pairs that one-at-a-time testing had missed: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requires_parking ↔ required_car_parking_spaces (r = 0.99)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has_special_requests ↔ total_of_special_requests (r = 0.86)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has_booking_changes ↔ booking_changes (r = 0.80)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The final analytical dataset held 44 columns, trimmed to 38 features for modeling after removing IDs, dates, and redundant pairs.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4. EDA &amp; Statistical Validation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Every visual finding was backed by a formal test — Chi-square with Cramér's V for categorical associations, Mann-Whitney U for numeric comparisons — so no claim rests on a bar chart alone.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900"/>
        <w:gridCol w:w="2300"/>
      </w:tblGrid>
      <w:tr>
        <w:trPr>
          <w:tblHeader/>
        </w:trPr>
        <w:tc>
          <w:tcPr>
            <w:tcW w:type="dxa" w:w="18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6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Cancellation-rate spread</w:t>
            </w:r>
          </w:p>
        </w:tc>
        <w:tc>
          <w:tcPr>
            <w:tcW w:type="dxa" w:w="19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 size</w:t>
            </w:r>
          </w:p>
        </w:tc>
        <w:tc>
          <w:tcPr>
            <w:tcW w:type="dxa" w:w="23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Deposit type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No Deposit 28.4% · Non-Refund 99.4% · Refundable 22.2%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 = 0.4815 (strong)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Top priority</w:t>
            </w:r>
          </w:p>
        </w:tc>
      </w:tr>
      <w:tr>
        <w:tc>
          <w:tcPr>
            <w:tcW w:type="dxa" w:w="18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Previous cancellations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33.9% → 91.6%</w:t>
            </w:r>
          </w:p>
        </w:tc>
        <w:tc>
          <w:tcPr>
            <w:tcW w:type="dxa" w:w="19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 = 0.2709 (moderate)</w:t>
            </w:r>
          </w:p>
        </w:tc>
        <w:tc>
          <w:tcPr>
            <w:tcW w:type="dxa" w:w="2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High priority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Market segment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Groups 61.1% · Online TA 36.7% · Direct 15.3%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 = 0.2668 (moderate)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High priority</w:t>
            </w:r>
          </w:p>
        </w:tc>
      </w:tr>
      <w:tr>
        <w:tc>
          <w:tcPr>
            <w:tcW w:type="dxa" w:w="18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Lead time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median 45d (kept) vs 113d (cancelled)</w:t>
            </w:r>
          </w:p>
        </w:tc>
        <w:tc>
          <w:tcPr>
            <w:tcW w:type="dxa" w:w="19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0.3785</w:t>
            </w:r>
          </w:p>
        </w:tc>
        <w:tc>
          <w:tcPr>
            <w:tcW w:type="dxa" w:w="2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High priority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Hotel type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City 41.7% vs Resort 27.8%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 = 0.1365 (weak)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Kept, not standalone</w:t>
            </w:r>
          </w:p>
        </w:tc>
      </w:tr>
      <w:tr>
        <w:tc>
          <w:tcPr>
            <w:tcW w:type="dxa" w:w="18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Customer type</w:t>
            </w:r>
          </w:p>
        </w:tc>
        <w:tc>
          <w:tcPr>
            <w:tcW w:type="dxa" w:w="3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Transient 40.8% vs Group 10.2%</w:t>
            </w:r>
          </w:p>
        </w:tc>
        <w:tc>
          <w:tcPr>
            <w:tcW w:type="dxa" w:w="19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V = 0.1364 (weak)</w:t>
            </w:r>
          </w:p>
        </w:tc>
        <w:tc>
          <w:tcPr>
            <w:tcW w:type="dxa" w:w="2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Kept, low priority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ADR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median 92.5 vs 96.2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0.0608 (very small)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Kept, low priority</w:t>
            </w:r>
          </w:p>
        </w:tc>
      </w:tr>
    </w:tbl>
    <w:p>
      <w:pPr>
        <w:spacing w:after="160" w:line="300"/>
      </w:pPr>
      <w:r>
        <w:rPr>
          <w:color w:val="2B2620"/>
          <w:sz w:val="22"/>
          <w:szCs w:val="22"/>
        </w:rPr>
        <w:t xml:space="preserve">All findings are reported as association, not causation, throughout the analysis.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5. Machine Learning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The train/test split was chronological (80/20), not random, because bookings have a real time order that a random split would ignore. Train covered Jul 2015 – Mar 2017 (35.85% cancel rate); test covered Mar – Aug 2017 (40.79% cancel rate).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Preprocessing: numeric features were median-imputed and standardized; low-cardinality categoricals one-hot encoded; high-cardinality fields (agent, company, country) frequency-encoded to avoid an exploding, overfit-prone feature space. All transforms were fit on train only.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Six model families were trained and tuned under the exact same evaluation regime — a small random hyper-parameter search, every candidate scored on pooled out-of-time predictions from four expanding-window temporal folds (Apr 2016 → Mar 2017), so no model gets an easier validation scheme than another: Logistic Regression, Random Forest, LightGBM, CatBoost, XGBoost, and a 2-model Blend (XGBoost + LightGBM), benchmarked against a Dummy baseline.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0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(temporal CV, train)</w:t>
            </w:r>
          </w:p>
        </w:tc>
        <w:tc>
          <w:tcPr>
            <w:tcW w:type="dxa" w:w="13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Dummy baseline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63.63%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0.00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0.482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0.353</w:t>
            </w:r>
          </w:p>
        </w:tc>
      </w:tr>
      <w:tr>
        <w:tc>
          <w:tcPr>
            <w:tcW w:type="dxa" w:w="30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Logistic Regression (tuned)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80.05%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72.41%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72.94%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72.67%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0.869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0.818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LightGBM (tuned)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82.62%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77.95%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72.82%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75.30%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0.898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0.858</w:t>
            </w:r>
          </w:p>
        </w:tc>
      </w:tr>
      <w:tr>
        <w:tc>
          <w:tcPr>
            <w:tcW w:type="dxa" w:w="30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Random Forest (tuned)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82.89%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78.09%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73.63%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75.79%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0.896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0.853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CatBoost (tuned)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82.94%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79.50%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71.56%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75.32%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0.901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0.861</w:t>
            </w:r>
          </w:p>
        </w:tc>
      </w:tr>
      <w:tr>
        <w:tc>
          <w:tcPr>
            <w:tcW w:type="dxa" w:w="30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Blend XGB + LightGBM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83.05%</w:t>
            </w:r>
          </w:p>
        </w:tc>
        <w:tc>
          <w:tcPr>
            <w:tcW w:type="dxa" w:w="13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80.27%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70.81%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75.25%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0.904</w:t>
            </w:r>
          </w:p>
        </w:tc>
        <w:tc>
          <w:tcPr>
            <w:tcW w:type="dxa" w:w="12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0.863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XGBoost (tuned) — WINNER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83.05%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80.44%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70.56%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75.18%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0.904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0.863</w:t>
            </w:r>
          </w:p>
        </w:tc>
      </w:tr>
    </w:tbl>
    <w:p>
      <w:pPr>
        <w:spacing w:after="160" w:line="300"/>
      </w:pPr>
      <w:r>
        <w:rPr>
          <w:color w:val="2B2620"/>
          <w:sz w:val="22"/>
          <w:szCs w:val="22"/>
        </w:rPr>
        <w:t xml:space="preserve">XGBoost was selected programmatically — not hard-coded — as the model with the best temporal-CV accuracy, statistically tied with the Blend. It was then calibrated (Platt scaling) and evaluated once, untouched, on the held-out future test window: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0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XGBoost (tuned) — one-time test</w:t>
            </w:r>
          </w:p>
        </w:tc>
        <w:tc>
          <w:tcPr>
            <w:tcW w:type="dxa" w:w="13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3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2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Test (Mar – Aug 2017, unseen)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79.49%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76.54%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71.70%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74.04%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0.885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0.846</w:t>
            </w:r>
          </w:p>
        </w:tc>
      </w:tr>
    </w:tbl>
    <w:p>
      <w:pPr>
        <w:spacing w:after="160" w:line="300"/>
      </w:pPr>
      <w:r>
        <w:rPr>
          <w:color w:val="2B2620"/>
          <w:sz w:val="22"/>
          <w:szCs w:val="22"/>
        </w:rPr>
        <w:t xml:space="preserve">The gap between the 83.05% temporal-CV accuracy and the 79.49% test accuracy is expected and reported honestly: the test window has a meaningfully higher actual cancellation rate (40.8% vs 35.9% in training), which is ordinary drift when forecasting forward in time, not a bug. This test-set figure — not the higher cross-validation numbers — is the one to quote publicly.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6. Benchmark Against a Reference Project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Before building this pipeline, a reference project was used to calibrate expectations for scope and quality: a fellow capstone team's “Hotel Intelligence” dashboard (Snipers Team), covering the same brief — database engineering plus data analysis &amp; ML on the same booking dataset. Its published modelling result was a Random Forest classifier reaching 81% accuracy, an F1 of 0.79, and an AUC of 0.86.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700"/>
        <w:gridCol w:w="2700"/>
      </w:tblGrid>
      <w:tr>
        <w:trPr>
          <w:tblHeader/>
        </w:trPr>
        <w:tc>
          <w:tcPr>
            <w:tcW w:type="dxa" w:w="26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Reference project (Random Forest)</w:t>
            </w:r>
          </w:p>
        </w:tc>
        <w:tc>
          <w:tcPr>
            <w:tcW w:type="dxa" w:w="27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project — Random Forest (tuned)</w:t>
            </w:r>
          </w:p>
        </w:tc>
        <w:tc>
          <w:tcPr>
            <w:tcW w:type="dxa" w:w="2700"/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This project — Logistic Regression (tuned)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Accuracy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81.0%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82.89%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80.05%</w:t>
            </w:r>
          </w:p>
        </w:tc>
      </w:tr>
      <w:tr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ROC-AUC</w:t>
            </w:r>
          </w:p>
        </w:tc>
        <w:tc>
          <w:tcPr>
            <w:tcW w:type="dxa" w:w="26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0.860</w:t>
            </w:r>
          </w:p>
        </w:tc>
        <w:tc>
          <w:tcPr>
            <w:tcW w:type="dxa" w:w="27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0.896</w:t>
            </w:r>
          </w:p>
        </w:tc>
        <w:tc>
          <w:tcPr>
            <w:tcW w:type="dxa" w:w="2700"/>
            <w:shd w:fill="F4EF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0.869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F1-score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0.79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0.758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B2620"/>
                <w:sz w:val="19"/>
                <w:szCs w:val="19"/>
              </w:rPr>
              <w:t xml:space="preserve">0.727</w:t>
            </w:r>
          </w:p>
        </w:tc>
      </w:tr>
    </w:tbl>
    <w:p>
      <w:pPr>
        <w:spacing w:after="160" w:line="300"/>
      </w:pPr>
      <w:r>
        <w:rPr>
          <w:color w:val="2B2620"/>
          <w:sz w:val="22"/>
          <w:szCs w:val="22"/>
        </w:rPr>
        <w:t>In temporal cross-validation, this project’s Random Forest reached 82.89% accuracy and 0.896 ROC-AUC, compared with 81% accuracy and 0.860 AUC reported by the reference project. Logistic Regression reached 80.05% accuracy and 0.869 ROC-AUC in the same internal validation. These comparisons are informal because the reference project did not use the same train/test split or evaluation protocol. For this project’s final, later-in-time test, the selected XGBoost achieved 79.49% accuracy and 0.885 ROC-AUC.</w:t>
      </w:r>
    </w:p>
    <w:p>
      <w:pPr>
        <w:spacing w:after="160" w:line="300"/>
      </w:pPr>
      <w:r>
        <w:rPr>
          <w:i/>
          <w:iCs/>
          <w:color w:val="2B2620"/>
          <w:sz w:val="22"/>
          <w:szCs w:val="22"/>
        </w:rPr>
        <w:t>The reference result helped set an informal benchmark. The strongest evidence for the model is the one-time chronological holdout test reported above, with precision, recall and F1 shown alongside accuracy.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 xml:space="preserve">7. Power BI Dashboard</w:t>
      </w:r>
    </w:p>
    <w:p>
      <w:pPr>
        <w:spacing w:after="160" w:line="300"/>
      </w:pPr>
      <w:r>
        <w:rPr>
          <w:color w:val="2B2620"/>
          <w:sz w:val="22"/>
          <w:szCs w:val="22"/>
        </w:rPr>
        <w:t xml:space="preserve">Three pages sit on top of the model's outputs.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6560"/>
          <w:sz w:val="18"/>
          <w:szCs w:val="18"/>
        </w:rPr>
        <w:t xml:space="preserve">Overview — KPIs, revenue by deposit type, booking share by hotel type.</w:t>
      </w:r>
    </w:p>
    <w:p>
      <w:pPr>
        <w:spacing w:after="160" w:line="300"/>
      </w:pPr>
      <w:r>
        <w:rPr>
          <w:color w:val="2B2620"/>
          <w:sz w:val="22"/>
          <w:szCs w:val="22"/>
        </w:rPr>
        <w:t>119,389 cleaned bookings, 37.04% cancelled, €42.72M gross booked value (including cancelled bookings), €16.73M estimated value of cancelled bookings, €16.81M model-expected exposure, €101.83 average ADR, and 40,453 high-risk bookings at the 50% risk threshold.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6560"/>
          <w:sz w:val="18"/>
          <w:szCs w:val="18"/>
        </w:rPr>
        <w:t xml:space="preserve">Cancellation Drivers — segment/deposit breakdowns and top model feature importances.</w:t>
      </w:r>
    </w:p>
    <w:p>
      <w:pPr>
        <w:spacing w:after="160" w:line="300"/>
      </w:pPr>
      <w:r>
        <w:rPr>
          <w:color w:val="2B2620"/>
          <w:sz w:val="22"/>
          <w:szCs w:val="22"/>
        </w:rPr>
        <w:t>The updated SHAP feature summary ranks guest country, deposit type, agent, total special requests, lead time and market segment among the leading signals. Feature importance measures contribution to predictions; it does not establish a causal effect or, by itself, the direction of an effect.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028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6560"/>
          <w:sz w:val="18"/>
          <w:szCs w:val="18"/>
        </w:rPr>
        <w:t>Risk Calculator &amp; Waiting List — browser-based what-if scenarios and a waiting-list example ranked by expected realised value.</w:t>
      </w:r>
    </w:p>
    <w:p>
      <w:pPr>
        <w:spacing w:after="160" w:line="300"/>
      </w:pPr>
      <w:r>
        <w:rPr>
          <w:color w:val="2B2620"/>
          <w:sz w:val="22"/>
          <w:szCs w:val="22"/>
        </w:rPr>
        <w:t>The calculator lets a manager vary booking inputs and see the calibrated model risk update. The historical waiting-list file ranks positive-value bookings by expected realised value = (1 − predicted cancellation risk) × ADR × nights. It demonstrates prioritisation logic, not a live queue.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>8. Chatbot</w:t>
      </w:r>
    </w:p>
    <w:p>
      <w:pPr>
        <w:spacing w:after="160" w:line="300"/>
      </w:pPr>
      <w:r>
        <w:rPr>
          <w:color w:val="2B2620"/>
          <w:sz w:val="22"/>
          <w:szCs w:val="22"/>
        </w:rPr>
        <w:t>The bilingual assistant uses updated facts from the 119,389-row scored booking file and the new model metadata. Its offline answers cover selected dashboard questions; its browser-based calculator evaluates the embedded XGBoost trees and displays risk plus one-variable what-if changes. When the supplied local Python API is running, a Data API mode offers free-form questions grounded in aggregates calculated from bookings_scored.csv. Gemini can optionally help interpret and phrase those answers when GEMINI_API_KEY is configured on the server; the model continues to calculate booking risk.</w:t>
      </w:r>
    </w:p>
    <w:p>
      <w:pPr>
        <w:spacing w:after="60" w:before="120"/>
        <w:jc w:val="center"/>
      </w:pPr>
      <w:r/>
    </w:p>
    <w:p>
      <w:pPr>
        <w:spacing w:after="240"/>
        <w:jc w:val="center"/>
      </w:pPr>
      <w:r>
        <w:rPr>
          <w:i/>
          <w:iCs/>
          <w:color w:val="6B6560"/>
          <w:sz w:val="18"/>
          <w:szCs w:val="18"/>
        </w:rPr>
        <w:t>Hotel Cancellation Assistant — the original bilingual HTML interface updated with the current XGBoost model, preprocessing statistics, calibration and 50% high-risk threshold. The accompanying local API supports additional data questions; it is optional and requires a Python server.</w:t>
      </w:r>
    </w:p>
    <w:p>
      <w:pPr>
        <w:spacing w:after="160" w:line="300"/>
      </w:pPr>
      <w:r>
        <w:rPr>
          <w:color w:val="2B2620"/>
          <w:sz w:val="22"/>
          <w:szCs w:val="22"/>
        </w:rPr>
        <w:t>Answers are limited by the historical data and available fields. The assistant presents probabilities and estimated exposure for decision support; the hotel remains responsible for any operational action. The Gemini connection requires a valid API key and has not been verified with a live key for this report.</w:t>
      </w:r>
    </w:p>
    <w:p>
      <w:pPr>
        <w:pStyle w:val="Heading1"/>
        <w:spacing w:after="160" w:before="320"/>
      </w:pPr>
      <w:r>
        <w:rPr>
          <w:b/>
          <w:bCs/>
          <w:color w:val="6B3A2A"/>
        </w:rPr>
        <w:t>9. Conclusion</w:t>
      </w:r>
    </w:p>
    <w:p>
      <w:pPr>
        <w:spacing w:after="160" w:line="300"/>
      </w:pPr>
      <w:r>
        <w:rPr>
          <w:color w:val="2B2620"/>
          <w:sz w:val="22"/>
          <w:szCs w:val="22"/>
        </w:rPr>
        <w:t>CancelIQ brings together cleaning, leakage checks, feature engineering, statistical analysis, temporal model validation, a Power BI dashboard and a bilingual assistant. The reported test performance is 79.49% accuracy and 0.885 ROC-AUC; the assistant provides updated, data-grounded summaries and browser-based risk scenarios, with optional Gemini wording through the local API. Historical data and informal external benchmarking remain important limits on operational claims.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d3c9f3f2fda34bb6fed34f8c622016e217660e.png"/><Relationship Id="rId8" Type="http://schemas.openxmlformats.org/officeDocument/2006/relationships/image" Target="media/a37f2a3c4461cd8d5ca068aaed5109a3440cfcf5.png"/><Relationship Id="rId9" Type="http://schemas.openxmlformats.org/officeDocument/2006/relationships/image" Target="media/267afe4a8bdc958b367a313d6c22d360927ca9fc.png"/><Relationship Id="rId10" Type="http://schemas.openxmlformats.org/officeDocument/2006/relationships/image" Target="media/aa7e8e5f717b27b73bbcf7e905b877b4eab9bb3e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2026-09-25T00:45:49.395Z</dcterms:created>
  <dcterms:modified xsi:type="dcterms:W3CDTF">2026-09-25T00:45:49.403Z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