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2F" w:rsidRPr="00213B2F" w:rsidRDefault="00A45926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  <w:bookmarkStart w:id="0" w:name="_GoBack"/>
      <w:bookmarkEnd w:id="0"/>
      <w:r>
        <w:rPr>
          <w:rFonts w:cs="Calibri"/>
          <w:b/>
          <w:sz w:val="24"/>
          <w:szCs w:val="24"/>
          <w:u w:val="single"/>
          <w:lang w:val="en"/>
        </w:rPr>
        <w:t>Conve</w:t>
      </w:r>
      <w:r w:rsidR="00213B2F" w:rsidRPr="00213B2F">
        <w:rPr>
          <w:rFonts w:cs="Calibri"/>
          <w:b/>
          <w:sz w:val="24"/>
          <w:szCs w:val="24"/>
          <w:u w:val="single"/>
          <w:lang w:val="en"/>
        </w:rPr>
        <w:t>ntional Commits</w:t>
      </w:r>
    </w:p>
    <w:p w:rsidR="00213B2F" w:rsidRPr="008256F7" w:rsidRDefault="00213B2F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A specification for adding human and machine readable meaning to commit messages</w:t>
      </w:r>
    </w:p>
    <w:p w:rsidR="00213B2F" w:rsidRPr="008256F7" w:rsidRDefault="00213B2F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Conventional Commits 1.0.0</w:t>
      </w:r>
    </w:p>
    <w:p w:rsidR="00213B2F" w:rsidRPr="008256F7" w:rsidRDefault="00213B2F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The commit message should be structured as follows:</w:t>
      </w:r>
    </w:p>
    <w:p w:rsidR="00213B2F" w:rsidRPr="008256F7" w:rsidRDefault="00213B2F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&lt;type&gt;[optional scope]: &lt;description&gt;</w:t>
      </w:r>
    </w:p>
    <w:p w:rsidR="00213B2F" w:rsidRPr="008256F7" w:rsidRDefault="00213B2F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[optional body]</w:t>
      </w:r>
    </w:p>
    <w:p w:rsidR="00213B2F" w:rsidRPr="008256F7" w:rsidRDefault="00213B2F" w:rsidP="00213B2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 xml:space="preserve">     [optional footer(s)]</w:t>
      </w:r>
    </w:p>
    <w:p w:rsidR="00213B2F" w:rsidRDefault="00213B2F" w:rsidP="000B044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</w:p>
    <w:p w:rsidR="000B0446" w:rsidRPr="008256F7" w:rsidRDefault="00653412" w:rsidP="000B044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cs="Calibri"/>
          <w:b/>
          <w:sz w:val="24"/>
          <w:szCs w:val="24"/>
          <w:u w:val="single"/>
          <w:lang w:val="en"/>
        </w:rPr>
      </w:pPr>
      <w:r w:rsidRPr="008256F7">
        <w:rPr>
          <w:rFonts w:cs="Calibri"/>
          <w:b/>
          <w:sz w:val="24"/>
          <w:szCs w:val="24"/>
          <w:u w:val="single"/>
          <w:lang w:val="en"/>
        </w:rPr>
        <w:t>Importance of</w:t>
      </w:r>
      <w:r w:rsidR="000B0446" w:rsidRPr="008256F7">
        <w:rPr>
          <w:rFonts w:cs="Calibri"/>
          <w:b/>
          <w:sz w:val="24"/>
          <w:szCs w:val="24"/>
          <w:u w:val="single"/>
          <w:lang w:val="en"/>
        </w:rPr>
        <w:t xml:space="preserve"> Conventional Commits</w:t>
      </w:r>
    </w:p>
    <w:p w:rsidR="000B0446" w:rsidRPr="008256F7" w:rsidRDefault="000B0446" w:rsidP="000B044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Automatically generating CHANGELOGs.</w:t>
      </w:r>
    </w:p>
    <w:p w:rsidR="000B0446" w:rsidRPr="008256F7" w:rsidRDefault="000B0446" w:rsidP="000B044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Automatically determining a semantic version bump (based on the types of commits landed).</w:t>
      </w:r>
    </w:p>
    <w:p w:rsidR="000B0446" w:rsidRPr="008256F7" w:rsidRDefault="000B0446" w:rsidP="000B044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Communicating the nature of changes to teammates, the public, and other stakeholders.</w:t>
      </w:r>
    </w:p>
    <w:p w:rsidR="000B0446" w:rsidRPr="008256F7" w:rsidRDefault="000B0446" w:rsidP="000B044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Triggering build and publish processes.</w:t>
      </w:r>
    </w:p>
    <w:p w:rsidR="001D748A" w:rsidRPr="00213B2F" w:rsidRDefault="000B0446" w:rsidP="00213B2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cs="Calibri"/>
          <w:sz w:val="24"/>
          <w:szCs w:val="24"/>
          <w:lang w:val="en"/>
        </w:rPr>
      </w:pPr>
      <w:r w:rsidRPr="008256F7">
        <w:rPr>
          <w:rFonts w:cs="Calibri"/>
          <w:sz w:val="24"/>
          <w:szCs w:val="24"/>
          <w:lang w:val="en"/>
        </w:rPr>
        <w:t>Making it easier for people to contribute to your projects, by allowing them to explore a more structured commit history.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Semantic Versioning is all about versioning API.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The syntax is universally known: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&lt;MAJOR&gt;.&lt;MINOR&gt;.&lt;PATCH&gt;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MAJOR</w:t>
      </w:r>
      <w:r w:rsidRPr="008256F7">
        <w:rPr>
          <w:rFonts w:cs="Calibri"/>
          <w:sz w:val="24"/>
          <w:szCs w:val="24"/>
        </w:rPr>
        <w:tab/>
        <w:t>Introduce a new backward-incompatible change</w:t>
      </w:r>
      <w:r w:rsidRPr="008256F7">
        <w:rPr>
          <w:rFonts w:cs="Calibri"/>
          <w:sz w:val="24"/>
          <w:szCs w:val="24"/>
        </w:rPr>
        <w:tab/>
        <w:t>1.0.0 → 2.0.0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MINOR</w:t>
      </w:r>
      <w:r w:rsidRPr="008256F7">
        <w:rPr>
          <w:rFonts w:cs="Calibri"/>
          <w:sz w:val="24"/>
          <w:szCs w:val="24"/>
        </w:rPr>
        <w:tab/>
        <w:t>Introduce a new backward-compatible change</w:t>
      </w:r>
      <w:r w:rsidRPr="008256F7">
        <w:rPr>
          <w:rFonts w:cs="Calibri"/>
          <w:sz w:val="24"/>
          <w:szCs w:val="24"/>
        </w:rPr>
        <w:tab/>
        <w:t>1.0.0 → 1.1.0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PATCH</w:t>
      </w:r>
      <w:r w:rsidRPr="008256F7">
        <w:rPr>
          <w:rFonts w:cs="Calibri"/>
          <w:sz w:val="24"/>
          <w:szCs w:val="24"/>
        </w:rPr>
        <w:tab/>
        <w:t>Fix a bug while maintaining backward-compatibility</w:t>
      </w:r>
      <w:r w:rsidRPr="008256F7">
        <w:rPr>
          <w:rFonts w:cs="Calibri"/>
          <w:sz w:val="24"/>
          <w:szCs w:val="24"/>
        </w:rPr>
        <w:tab/>
        <w:t>1.0.0 → 1.0.1</w:t>
      </w:r>
    </w:p>
    <w:p w:rsidR="001D748A" w:rsidRPr="008256F7" w:rsidRDefault="008256F7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</w:t>
      </w:r>
      <w:r w:rsidRPr="008256F7">
        <w:rPr>
          <w:rFonts w:cs="Calibri"/>
          <w:sz w:val="24"/>
          <w:szCs w:val="24"/>
        </w:rPr>
        <w:t>ule</w:t>
      </w:r>
      <w:r>
        <w:rPr>
          <w:rFonts w:cs="Calibri"/>
          <w:sz w:val="24"/>
          <w:szCs w:val="24"/>
        </w:rPr>
        <w:t>s of a great Git commit message</w:t>
      </w:r>
    </w:p>
    <w:p w:rsidR="008256F7" w:rsidRDefault="00F46488" w:rsidP="008256F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b/>
          <w:sz w:val="24"/>
          <w:szCs w:val="24"/>
        </w:rPr>
        <w:lastRenderedPageBreak/>
        <w:t>Specify</w:t>
      </w:r>
      <w:r w:rsidR="001D748A" w:rsidRPr="008256F7">
        <w:rPr>
          <w:rFonts w:cs="Calibri"/>
          <w:b/>
          <w:sz w:val="24"/>
          <w:szCs w:val="24"/>
        </w:rPr>
        <w:t xml:space="preserve"> the type of commit</w:t>
      </w:r>
      <w:r w:rsidR="001D748A" w:rsidRPr="008256F7">
        <w:rPr>
          <w:rFonts w:cs="Calibri"/>
          <w:sz w:val="24"/>
          <w:szCs w:val="24"/>
        </w:rPr>
        <w:t>:</w:t>
      </w:r>
    </w:p>
    <w:p w:rsidR="008256F7" w:rsidRPr="008256F7" w:rsidRDefault="008256F7" w:rsidP="008256F7">
      <w:pPr>
        <w:shd w:val="clear" w:color="auto" w:fill="FFFFFF"/>
        <w:autoSpaceDE w:val="0"/>
        <w:autoSpaceDN w:val="0"/>
        <w:adjustRightInd w:val="0"/>
        <w:spacing w:before="192" w:after="96" w:line="300" w:lineRule="atLeast"/>
        <w:ind w:left="360"/>
        <w:rPr>
          <w:rFonts w:cs="Calibri"/>
          <w:sz w:val="24"/>
          <w:szCs w:val="24"/>
        </w:rPr>
      </w:pPr>
    </w:p>
    <w:p w:rsidR="00A45926" w:rsidRDefault="00A45926" w:rsidP="00A45926">
      <w:pPr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92E"/>
          <w:sz w:val="24"/>
          <w:szCs w:val="24"/>
          <w:lang w:val="en-US" w:eastAsia="en-US"/>
        </w:rPr>
      </w:pPr>
      <w:r w:rsidRPr="00A45926">
        <w:rPr>
          <w:rFonts w:ascii="Segoe UI" w:hAnsi="Segoe UI" w:cs="Segoe UI"/>
          <w:b/>
          <w:bCs/>
          <w:color w:val="24292E"/>
          <w:sz w:val="24"/>
          <w:szCs w:val="24"/>
          <w:lang w:val="en-US" w:eastAsia="en-US"/>
        </w:rPr>
        <w:t>fix: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a commit of the </w:t>
      </w:r>
      <w:r w:rsidRPr="00A45926">
        <w:rPr>
          <w:rFonts w:ascii="Segoe UI" w:hAnsi="Segoe UI" w:cs="Segoe UI"/>
          <w:i/>
          <w:iCs/>
          <w:color w:val="24292E"/>
          <w:sz w:val="24"/>
          <w:szCs w:val="24"/>
          <w:lang w:val="en-US" w:eastAsia="en-US"/>
        </w:rPr>
        <w:t>type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</w:t>
      </w:r>
      <w:r w:rsidRPr="00A45926">
        <w:rPr>
          <w:rFonts w:ascii="Consolas" w:hAnsi="Consolas" w:cs="Courier New"/>
          <w:color w:val="24292E"/>
          <w:sz w:val="20"/>
          <w:szCs w:val="20"/>
          <w:lang w:val="en-US" w:eastAsia="en-US"/>
        </w:rPr>
        <w:t>fix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patches a bug in your codebase (this correlates with </w:t>
      </w:r>
      <w:r>
        <w:rPr>
          <w:rFonts w:ascii="Segoe UI" w:hAnsi="Segoe UI" w:cs="Segoe UI"/>
          <w:color w:val="24292E"/>
          <w:sz w:val="24"/>
          <w:szCs w:val="24"/>
          <w:lang w:val="en-US" w:eastAsia="en-US"/>
        </w:rPr>
        <w:t>PATCH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in Semantic Versioning).</w:t>
      </w:r>
    </w:p>
    <w:p w:rsidR="00A45926" w:rsidRPr="00A45926" w:rsidRDefault="00A45926" w:rsidP="00A45926">
      <w:pPr>
        <w:spacing w:after="0" w:line="240" w:lineRule="auto"/>
        <w:ind w:left="360"/>
        <w:rPr>
          <w:rFonts w:ascii="Segoe UI" w:hAnsi="Segoe UI" w:cs="Segoe UI"/>
          <w:color w:val="24292E"/>
          <w:sz w:val="24"/>
          <w:szCs w:val="24"/>
          <w:lang w:val="en-US" w:eastAsia="en-US"/>
        </w:rPr>
      </w:pPr>
    </w:p>
    <w:p w:rsidR="00A45926" w:rsidRDefault="00A45926" w:rsidP="00A45926">
      <w:pPr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92E"/>
          <w:sz w:val="24"/>
          <w:szCs w:val="24"/>
          <w:lang w:val="en-US" w:eastAsia="en-US"/>
        </w:rPr>
      </w:pPr>
      <w:r w:rsidRPr="00A45926">
        <w:rPr>
          <w:rFonts w:ascii="Segoe UI" w:hAnsi="Segoe UI" w:cs="Segoe UI"/>
          <w:b/>
          <w:bCs/>
          <w:color w:val="24292E"/>
          <w:sz w:val="24"/>
          <w:szCs w:val="24"/>
          <w:lang w:val="en-US" w:eastAsia="en-US"/>
        </w:rPr>
        <w:t>feat: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a commit of the </w:t>
      </w:r>
      <w:r w:rsidRPr="00A45926">
        <w:rPr>
          <w:rFonts w:ascii="Segoe UI" w:hAnsi="Segoe UI" w:cs="Segoe UI"/>
          <w:i/>
          <w:iCs/>
          <w:color w:val="24292E"/>
          <w:sz w:val="24"/>
          <w:szCs w:val="24"/>
          <w:lang w:val="en-US" w:eastAsia="en-US"/>
        </w:rPr>
        <w:t>type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</w:t>
      </w:r>
      <w:r w:rsidRPr="00A45926">
        <w:rPr>
          <w:rFonts w:ascii="Consolas" w:hAnsi="Consolas" w:cs="Courier New"/>
          <w:color w:val="24292E"/>
          <w:sz w:val="20"/>
          <w:szCs w:val="20"/>
          <w:lang w:val="en-US" w:eastAsia="en-US"/>
        </w:rPr>
        <w:t>feat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introduces a new feature to the codebase (this correlates with </w:t>
      </w:r>
      <w:r>
        <w:rPr>
          <w:rFonts w:ascii="Segoe UI" w:hAnsi="Segoe UI" w:cs="Segoe UI"/>
          <w:color w:val="24292E"/>
          <w:sz w:val="24"/>
          <w:szCs w:val="24"/>
          <w:lang w:val="en-US" w:eastAsia="en-US"/>
        </w:rPr>
        <w:t xml:space="preserve">MINOR 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in Semantic Versioning).</w:t>
      </w:r>
    </w:p>
    <w:p w:rsidR="00A45926" w:rsidRPr="00A45926" w:rsidRDefault="00A45926" w:rsidP="00A45926">
      <w:pPr>
        <w:spacing w:after="0" w:line="240" w:lineRule="auto"/>
        <w:ind w:left="360"/>
        <w:rPr>
          <w:rFonts w:ascii="Segoe UI" w:hAnsi="Segoe UI" w:cs="Segoe UI"/>
          <w:color w:val="24292E"/>
          <w:sz w:val="24"/>
          <w:szCs w:val="24"/>
          <w:lang w:val="en-US" w:eastAsia="en-US"/>
        </w:rPr>
      </w:pPr>
    </w:p>
    <w:p w:rsidR="00A45926" w:rsidRPr="00A45926" w:rsidRDefault="00A45926" w:rsidP="00A45926">
      <w:pPr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24292E"/>
          <w:sz w:val="24"/>
          <w:szCs w:val="24"/>
          <w:lang w:val="en-US" w:eastAsia="en-US"/>
        </w:rPr>
      </w:pPr>
      <w:r w:rsidRPr="00A45926">
        <w:rPr>
          <w:rFonts w:ascii="Segoe UI" w:hAnsi="Segoe UI" w:cs="Segoe UI"/>
          <w:b/>
          <w:bCs/>
          <w:color w:val="24292E"/>
          <w:sz w:val="24"/>
          <w:szCs w:val="24"/>
          <w:lang w:val="en-US" w:eastAsia="en-US"/>
        </w:rPr>
        <w:t>BREAKING CHANGE: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a commit that has a footer </w:t>
      </w:r>
      <w:r w:rsidRPr="00A45926">
        <w:rPr>
          <w:rFonts w:ascii="Consolas" w:hAnsi="Consolas" w:cs="Courier New"/>
          <w:color w:val="24292E"/>
          <w:sz w:val="20"/>
          <w:szCs w:val="20"/>
          <w:lang w:val="en-US" w:eastAsia="en-US"/>
        </w:rPr>
        <w:t>BREAKING CHANGE: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, or appends a </w:t>
      </w:r>
      <w:r w:rsidRPr="00A45926">
        <w:rPr>
          <w:rFonts w:ascii="Consolas" w:hAnsi="Consolas" w:cs="Courier New"/>
          <w:color w:val="24292E"/>
          <w:sz w:val="20"/>
          <w:szCs w:val="20"/>
          <w:lang w:val="en-US" w:eastAsia="en-US"/>
        </w:rPr>
        <w:t>!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 after the type/scope, introduces a breaking API change (correlating with </w:t>
      </w:r>
      <w:r>
        <w:rPr>
          <w:rFonts w:ascii="Segoe UI" w:hAnsi="Segoe UI" w:cs="Segoe UI"/>
          <w:color w:val="24292E"/>
          <w:sz w:val="24"/>
          <w:szCs w:val="24"/>
          <w:lang w:val="en-US" w:eastAsia="en-US"/>
        </w:rPr>
        <w:t>MAJOR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 xml:space="preserve"> in Semantic Versioning). A BREAKING CHANGE can be part of commits of any </w:t>
      </w:r>
      <w:r w:rsidRPr="00A45926">
        <w:rPr>
          <w:rFonts w:ascii="Segoe UI" w:hAnsi="Segoe UI" w:cs="Segoe UI"/>
          <w:i/>
          <w:iCs/>
          <w:color w:val="24292E"/>
          <w:sz w:val="24"/>
          <w:szCs w:val="24"/>
          <w:lang w:val="en-US" w:eastAsia="en-US"/>
        </w:rPr>
        <w:t>type</w:t>
      </w:r>
      <w:r w:rsidRPr="00A45926">
        <w:rPr>
          <w:rFonts w:ascii="Segoe UI" w:hAnsi="Segoe UI" w:cs="Segoe UI"/>
          <w:color w:val="24292E"/>
          <w:sz w:val="24"/>
          <w:szCs w:val="24"/>
          <w:lang w:val="en-US" w:eastAsia="en-US"/>
        </w:rPr>
        <w:t>.</w:t>
      </w:r>
    </w:p>
    <w:p w:rsidR="001D748A" w:rsidRPr="008256F7" w:rsidRDefault="001D748A" w:rsidP="008256F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b/>
          <w:bCs/>
          <w:sz w:val="24"/>
          <w:szCs w:val="24"/>
        </w:rPr>
        <w:t>style</w:t>
      </w:r>
      <w:r w:rsidRPr="008256F7">
        <w:rPr>
          <w:rFonts w:cs="Calibri"/>
          <w:sz w:val="24"/>
          <w:szCs w:val="24"/>
        </w:rPr>
        <w:t>: Feature and updates related to styling</w:t>
      </w:r>
    </w:p>
    <w:p w:rsidR="001D748A" w:rsidRPr="008256F7" w:rsidRDefault="001D748A" w:rsidP="008256F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b/>
          <w:bCs/>
          <w:sz w:val="24"/>
          <w:szCs w:val="24"/>
        </w:rPr>
        <w:t>refactor</w:t>
      </w:r>
      <w:r w:rsidRPr="008256F7">
        <w:rPr>
          <w:rFonts w:cs="Calibri"/>
          <w:sz w:val="24"/>
          <w:szCs w:val="24"/>
        </w:rPr>
        <w:t>: Refactoring a specific section of the codebase</w:t>
      </w:r>
    </w:p>
    <w:p w:rsidR="001D748A" w:rsidRPr="008256F7" w:rsidRDefault="001D748A" w:rsidP="008256F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b/>
          <w:bCs/>
          <w:sz w:val="24"/>
          <w:szCs w:val="24"/>
        </w:rPr>
        <w:t>test</w:t>
      </w:r>
      <w:r w:rsidRPr="008256F7">
        <w:rPr>
          <w:rFonts w:cs="Calibri"/>
          <w:sz w:val="24"/>
          <w:szCs w:val="24"/>
        </w:rPr>
        <w:t>: Everything related to testing</w:t>
      </w:r>
    </w:p>
    <w:p w:rsidR="001D748A" w:rsidRPr="008256F7" w:rsidRDefault="001D748A" w:rsidP="008256F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b/>
          <w:bCs/>
          <w:sz w:val="24"/>
          <w:szCs w:val="24"/>
        </w:rPr>
        <w:t>docs</w:t>
      </w:r>
      <w:r w:rsidRPr="008256F7">
        <w:rPr>
          <w:rFonts w:cs="Calibri"/>
          <w:sz w:val="24"/>
          <w:szCs w:val="24"/>
        </w:rPr>
        <w:t>: Everything related to documentation</w:t>
      </w:r>
    </w:p>
    <w:p w:rsidR="001D748A" w:rsidRPr="008256F7" w:rsidRDefault="001D748A" w:rsidP="008256F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92" w:after="96" w:line="300" w:lineRule="atLeast"/>
        <w:rPr>
          <w:rFonts w:cs="Calibri"/>
          <w:sz w:val="24"/>
          <w:szCs w:val="24"/>
        </w:rPr>
      </w:pPr>
      <w:r w:rsidRPr="008256F7">
        <w:rPr>
          <w:rFonts w:cs="Calibri"/>
          <w:b/>
          <w:bCs/>
          <w:sz w:val="24"/>
          <w:szCs w:val="24"/>
        </w:rPr>
        <w:t>chore</w:t>
      </w:r>
      <w:r w:rsidRPr="008256F7">
        <w:rPr>
          <w:rFonts w:cs="Calibri"/>
          <w:sz w:val="24"/>
          <w:szCs w:val="24"/>
        </w:rPr>
        <w:t>: Regular code maintenance.[ You can also use emojis to represent commit types]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line="240" w:lineRule="auto"/>
        <w:rPr>
          <w:rFonts w:cs="Calibri"/>
          <w:sz w:val="24"/>
          <w:szCs w:val="24"/>
        </w:rPr>
      </w:pPr>
    </w:p>
    <w:p w:rsidR="001D748A" w:rsidRPr="008256F7" w:rsidRDefault="001D748A" w:rsidP="008256F7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b/>
          <w:color w:val="000000" w:themeColor="text1"/>
          <w:sz w:val="24"/>
          <w:szCs w:val="24"/>
        </w:rPr>
      </w:pPr>
      <w:hyperlink r:id="rId5" w:history="1">
        <w:r w:rsidRPr="008256F7">
          <w:rPr>
            <w:rFonts w:cs="Calibri"/>
            <w:b/>
            <w:color w:val="000000" w:themeColor="text1"/>
            <w:sz w:val="24"/>
            <w:szCs w:val="24"/>
          </w:rPr>
          <w:t>Separate subject from body with a blank line</w:t>
        </w:r>
      </w:hyperlink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  <w:highlight w:val="white"/>
        </w:rPr>
      </w:pPr>
      <w:r w:rsidRPr="008256F7">
        <w:rPr>
          <w:rFonts w:cs="Calibri"/>
          <w:sz w:val="24"/>
          <w:szCs w:val="24"/>
          <w:highlight w:val="white"/>
        </w:rPr>
        <w:t>Firstly, not every commit requires both a subject and a body. Sometimes a single line is fine, especially when the change is so simple that no further context is necessary. For example: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  <w:highlight w:val="white"/>
        </w:rPr>
      </w:pPr>
    </w:p>
    <w:p w:rsidR="001D748A" w:rsidRPr="008256F7" w:rsidRDefault="001D748A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tLeast"/>
        <w:ind w:left="720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$ git commit -m "Fix typo in introduction to user guide"</w:t>
      </w:r>
    </w:p>
    <w:p w:rsidR="001D748A" w:rsidRPr="008256F7" w:rsidRDefault="001D748A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  <w:highlight w:val="white"/>
        </w:rPr>
      </w:pPr>
      <w:r w:rsidRPr="008256F7">
        <w:rPr>
          <w:rFonts w:cs="Calibri"/>
          <w:sz w:val="24"/>
          <w:szCs w:val="24"/>
          <w:highlight w:val="white"/>
        </w:rPr>
        <w:t>However, when a commit merits a bit of explanation and context, you need to write a body.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  <w:highlight w:val="white"/>
        </w:rPr>
      </w:pPr>
    </w:p>
    <w:p w:rsidR="001D748A" w:rsidRPr="008256F7" w:rsidRDefault="001D748A">
      <w:pPr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tLeast"/>
        <w:ind w:left="720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$ git commit -m “Subject” -m “Description….”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The first -m option is the subject (short description), and the next is the extended description (body).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 w:rsidP="00494BD6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  <w:hyperlink r:id="rId6" w:history="1">
        <w:r w:rsidRPr="00494BD6">
          <w:rPr>
            <w:rFonts w:cs="Calibri"/>
            <w:b/>
            <w:color w:val="000000" w:themeColor="text1"/>
            <w:sz w:val="24"/>
            <w:szCs w:val="24"/>
          </w:rPr>
          <w:t>Limit the subject line to 50 characters</w:t>
        </w:r>
      </w:hyperlink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  <w:highlight w:val="white"/>
        </w:rPr>
      </w:pPr>
      <w:r w:rsidRPr="008256F7">
        <w:rPr>
          <w:rFonts w:cs="Calibri"/>
          <w:sz w:val="24"/>
          <w:szCs w:val="24"/>
          <w:highlight w:val="white"/>
        </w:rPr>
        <w:t>50 characters is not a hard limit, just a rule of thumb. Keeping subject lines at this length ensures that they are readable, and forces the author to think for a moment about the most concise way to explain what’s going on.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 w:rsidP="00494BD6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  <w:hyperlink r:id="rId7" w:history="1">
        <w:r w:rsidRPr="00494BD6">
          <w:rPr>
            <w:rFonts w:cs="Calibri"/>
            <w:b/>
            <w:color w:val="000000" w:themeColor="text1"/>
            <w:sz w:val="24"/>
            <w:szCs w:val="24"/>
          </w:rPr>
          <w:t>Capitalize the subject line</w:t>
        </w:r>
      </w:hyperlink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36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This is as simple as it sounds. Begin all subject lines with a capital letter.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36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For example:</w:t>
      </w:r>
    </w:p>
    <w:p w:rsidR="001D748A" w:rsidRPr="008256F7" w:rsidRDefault="001D748A" w:rsidP="000B044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120" w:line="384" w:lineRule="atLeast"/>
        <w:ind w:left="720" w:hanging="360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Modified the app file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36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Instead of:</w:t>
      </w:r>
    </w:p>
    <w:p w:rsidR="001D748A" w:rsidRPr="008256F7" w:rsidRDefault="001D748A" w:rsidP="000B044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84" w:lineRule="atLeast"/>
        <w:ind w:left="720" w:hanging="360"/>
        <w:rPr>
          <w:rFonts w:cs="Calibri"/>
          <w:sz w:val="24"/>
          <w:szCs w:val="24"/>
        </w:rPr>
      </w:pPr>
      <w:r w:rsidRPr="008256F7">
        <w:rPr>
          <w:rFonts w:cs="Calibri"/>
          <w:strike/>
          <w:sz w:val="24"/>
          <w:szCs w:val="24"/>
        </w:rPr>
        <w:t xml:space="preserve">modified the app file 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 w:rsidP="00494BD6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84" w:lineRule="atLeast"/>
        <w:rPr>
          <w:rFonts w:cs="Calibri"/>
          <w:sz w:val="24"/>
          <w:szCs w:val="24"/>
        </w:rPr>
      </w:pPr>
      <w:hyperlink r:id="rId8" w:history="1">
        <w:r w:rsidRPr="00494BD6">
          <w:rPr>
            <w:rFonts w:cs="Calibri"/>
            <w:b/>
            <w:color w:val="000000" w:themeColor="text1"/>
            <w:sz w:val="24"/>
            <w:szCs w:val="24"/>
          </w:rPr>
          <w:t>Do not end the subject line with a period</w:t>
        </w:r>
      </w:hyperlink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Trailing punctuation is unnecessary in subject lines. Besides, space is precious when you’re trying to keep them to </w:t>
      </w:r>
      <w:hyperlink r:id="rId9" w:history="1">
        <w:r w:rsidRPr="00494BD6">
          <w:rPr>
            <w:rFonts w:cs="Calibri"/>
            <w:color w:val="000000" w:themeColor="text1"/>
            <w:sz w:val="24"/>
            <w:szCs w:val="24"/>
          </w:rPr>
          <w:t>50 chars or less</w:t>
        </w:r>
      </w:hyperlink>
      <w:r w:rsidRPr="008256F7">
        <w:rPr>
          <w:rFonts w:cs="Calibri"/>
          <w:sz w:val="24"/>
          <w:szCs w:val="24"/>
        </w:rPr>
        <w:t>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36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Example:</w:t>
      </w:r>
    </w:p>
    <w:p w:rsidR="001D748A" w:rsidRPr="008256F7" w:rsidRDefault="001D748A" w:rsidP="000B044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120" w:line="384" w:lineRule="atLeast"/>
        <w:ind w:left="720" w:hanging="360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Open the pod bay doors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360" w:line="240" w:lineRule="auto"/>
        <w:rPr>
          <w:rFonts w:cs="Calibri"/>
          <w:sz w:val="24"/>
          <w:szCs w:val="24"/>
        </w:rPr>
      </w:pPr>
      <w:r w:rsidRPr="008256F7">
        <w:rPr>
          <w:rFonts w:cs="Calibri"/>
          <w:sz w:val="24"/>
          <w:szCs w:val="24"/>
        </w:rPr>
        <w:t>Instead of:</w:t>
      </w:r>
    </w:p>
    <w:p w:rsidR="001D748A" w:rsidRPr="008256F7" w:rsidRDefault="001D748A" w:rsidP="000B0446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84" w:lineRule="atLeast"/>
        <w:ind w:left="720" w:hanging="360"/>
        <w:rPr>
          <w:rFonts w:cs="Calibri"/>
          <w:sz w:val="24"/>
          <w:szCs w:val="24"/>
        </w:rPr>
      </w:pPr>
      <w:r w:rsidRPr="008256F7">
        <w:rPr>
          <w:rFonts w:cs="Calibri"/>
          <w:strike/>
          <w:sz w:val="24"/>
          <w:szCs w:val="24"/>
        </w:rPr>
        <w:t>Open the pod bay doors.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494BD6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 w:hanging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6</w:t>
      </w:r>
      <w:r w:rsidR="001D748A" w:rsidRPr="008256F7">
        <w:rPr>
          <w:rFonts w:cs="Calibri"/>
          <w:sz w:val="24"/>
          <w:szCs w:val="24"/>
        </w:rPr>
        <w:t>.</w:t>
      </w:r>
      <w:r w:rsidR="001D748A" w:rsidRPr="008256F7">
        <w:rPr>
          <w:rFonts w:cs="Calibri"/>
          <w:sz w:val="24"/>
          <w:szCs w:val="24"/>
        </w:rPr>
        <w:tab/>
      </w:r>
      <w:hyperlink r:id="rId10" w:history="1">
        <w:r w:rsidR="001D748A" w:rsidRPr="00494BD6">
          <w:rPr>
            <w:rFonts w:cs="Calibri"/>
            <w:b/>
            <w:color w:val="000000" w:themeColor="text1"/>
            <w:sz w:val="24"/>
            <w:szCs w:val="24"/>
          </w:rPr>
          <w:t>Use the imperative mood in the subject line</w:t>
        </w:r>
      </w:hyperlink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  <w:highlight w:val="white"/>
        </w:rPr>
      </w:pPr>
      <w:r w:rsidRPr="008256F7">
        <w:rPr>
          <w:rFonts w:cs="Calibri"/>
          <w:i/>
          <w:iCs/>
          <w:sz w:val="24"/>
          <w:szCs w:val="24"/>
          <w:highlight w:val="white"/>
        </w:rPr>
        <w:lastRenderedPageBreak/>
        <w:t>Imperative mood</w:t>
      </w:r>
      <w:r w:rsidRPr="008256F7">
        <w:rPr>
          <w:rFonts w:cs="Calibri"/>
          <w:sz w:val="24"/>
          <w:szCs w:val="24"/>
          <w:highlight w:val="white"/>
        </w:rPr>
        <w:t> just means “spoken or written as if giving a command or instruction”. A few examples:</w:t>
      </w:r>
    </w:p>
    <w:p w:rsidR="001D748A" w:rsidRPr="008256F7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/>
        <w:rPr>
          <w:rFonts w:cs="Calibri"/>
          <w:sz w:val="24"/>
          <w:szCs w:val="24"/>
        </w:rPr>
      </w:pPr>
      <w:r w:rsidRPr="008256F7">
        <w:rPr>
          <w:rFonts w:cs="Calibri"/>
          <w:color w:val="57606A"/>
          <w:sz w:val="24"/>
          <w:szCs w:val="24"/>
          <w:highlight w:val="white"/>
        </w:rPr>
        <w:t>"Fix bug" and not "Fixed bug" or "Fixes bug." </w:t>
      </w:r>
    </w:p>
    <w:p w:rsidR="001D748A" w:rsidRPr="00494BD6" w:rsidRDefault="00494BD6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 w:hanging="360"/>
        <w:rPr>
          <w:rFonts w:cs="Calibri"/>
          <w:b/>
          <w:color w:val="000000" w:themeColor="text1"/>
          <w:sz w:val="24"/>
          <w:szCs w:val="24"/>
        </w:rPr>
      </w:pPr>
      <w:r>
        <w:rPr>
          <w:rFonts w:cs="Calibri"/>
          <w:sz w:val="24"/>
          <w:szCs w:val="24"/>
        </w:rPr>
        <w:t>7</w:t>
      </w:r>
      <w:r w:rsidR="001D748A" w:rsidRPr="008256F7">
        <w:rPr>
          <w:rFonts w:cs="Calibri"/>
          <w:sz w:val="24"/>
          <w:szCs w:val="24"/>
        </w:rPr>
        <w:t>.</w:t>
      </w:r>
      <w:r w:rsidR="001D748A" w:rsidRPr="008256F7">
        <w:rPr>
          <w:rFonts w:cs="Calibri"/>
          <w:sz w:val="24"/>
          <w:szCs w:val="24"/>
        </w:rPr>
        <w:tab/>
      </w:r>
      <w:hyperlink r:id="rId11" w:history="1">
        <w:r w:rsidR="001D748A" w:rsidRPr="00494BD6">
          <w:rPr>
            <w:rFonts w:cs="Calibri"/>
            <w:b/>
            <w:color w:val="000000" w:themeColor="text1"/>
            <w:sz w:val="24"/>
            <w:szCs w:val="24"/>
          </w:rPr>
          <w:t>Wrap the body at 72 characters</w:t>
        </w:r>
      </w:hyperlink>
    </w:p>
    <w:p w:rsidR="001D748A" w:rsidRPr="00494BD6" w:rsidRDefault="001D748A">
      <w:pPr>
        <w:shd w:val="clear" w:color="auto" w:fill="FFFFFF"/>
        <w:autoSpaceDE w:val="0"/>
        <w:autoSpaceDN w:val="0"/>
        <w:adjustRightInd w:val="0"/>
        <w:spacing w:after="0" w:line="384" w:lineRule="atLeast"/>
        <w:ind w:left="360"/>
        <w:rPr>
          <w:rFonts w:cs="Calibri"/>
          <w:b/>
          <w:color w:val="000000" w:themeColor="text1"/>
          <w:sz w:val="24"/>
          <w:szCs w:val="24"/>
        </w:rPr>
      </w:pPr>
    </w:p>
    <w:p w:rsidR="001D748A" w:rsidRPr="008256F7" w:rsidRDefault="00494BD6">
      <w:pPr>
        <w:shd w:val="clear" w:color="auto" w:fill="FFFFFF"/>
        <w:autoSpaceDE w:val="0"/>
        <w:autoSpaceDN w:val="0"/>
        <w:adjustRightInd w:val="0"/>
        <w:spacing w:after="0" w:line="384" w:lineRule="atLeast"/>
        <w:ind w:left="720" w:hanging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8</w:t>
      </w:r>
      <w:r w:rsidR="001D748A" w:rsidRPr="008256F7">
        <w:rPr>
          <w:rFonts w:cs="Calibri"/>
          <w:sz w:val="24"/>
          <w:szCs w:val="24"/>
        </w:rPr>
        <w:t>.</w:t>
      </w:r>
      <w:r w:rsidR="001D748A" w:rsidRPr="008256F7">
        <w:rPr>
          <w:rFonts w:cs="Calibri"/>
          <w:sz w:val="24"/>
          <w:szCs w:val="24"/>
        </w:rPr>
        <w:tab/>
      </w:r>
      <w:hyperlink r:id="rId12" w:history="1">
        <w:r w:rsidR="001D748A" w:rsidRPr="00494BD6">
          <w:rPr>
            <w:rFonts w:cs="Calibri"/>
            <w:b/>
            <w:color w:val="000000" w:themeColor="text1"/>
            <w:sz w:val="24"/>
            <w:szCs w:val="24"/>
          </w:rPr>
          <w:t>Use the body to explain </w:t>
        </w:r>
        <w:r w:rsidR="001D748A" w:rsidRPr="00494BD6">
          <w:rPr>
            <w:rFonts w:cs="Calibri"/>
            <w:b/>
            <w:iCs/>
            <w:color w:val="000000" w:themeColor="text1"/>
            <w:sz w:val="24"/>
            <w:szCs w:val="24"/>
          </w:rPr>
          <w:t>what</w:t>
        </w:r>
        <w:r w:rsidR="001D748A" w:rsidRPr="00494BD6">
          <w:rPr>
            <w:rFonts w:cs="Calibri"/>
            <w:b/>
            <w:color w:val="000000" w:themeColor="text1"/>
            <w:sz w:val="24"/>
            <w:szCs w:val="24"/>
          </w:rPr>
          <w:t> and </w:t>
        </w:r>
        <w:r w:rsidR="001D748A" w:rsidRPr="00494BD6">
          <w:rPr>
            <w:rFonts w:cs="Calibri"/>
            <w:b/>
            <w:iCs/>
            <w:color w:val="000000" w:themeColor="text1"/>
            <w:sz w:val="24"/>
            <w:szCs w:val="24"/>
          </w:rPr>
          <w:t>why</w:t>
        </w:r>
        <w:r w:rsidR="001D748A" w:rsidRPr="00494BD6">
          <w:rPr>
            <w:rFonts w:cs="Calibri"/>
            <w:b/>
            <w:color w:val="000000" w:themeColor="text1"/>
            <w:sz w:val="24"/>
            <w:szCs w:val="24"/>
          </w:rPr>
          <w:t> vs. </w:t>
        </w:r>
        <w:r w:rsidR="001D748A" w:rsidRPr="00494BD6">
          <w:rPr>
            <w:rFonts w:cs="Calibri"/>
            <w:b/>
            <w:iCs/>
            <w:color w:val="000000" w:themeColor="text1"/>
            <w:sz w:val="24"/>
            <w:szCs w:val="24"/>
          </w:rPr>
          <w:t>how</w:t>
        </w:r>
      </w:hyperlink>
    </w:p>
    <w:sectPr w:rsidR="001D748A" w:rsidRPr="008256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5E08DCA"/>
    <w:lvl w:ilvl="0">
      <w:numFmt w:val="bullet"/>
      <w:lvlText w:val="*"/>
      <w:lvlJc w:val="left"/>
    </w:lvl>
  </w:abstractNum>
  <w:abstractNum w:abstractNumId="1" w15:restartNumberingAfterBreak="0">
    <w:nsid w:val="035F7BD3"/>
    <w:multiLevelType w:val="hybridMultilevel"/>
    <w:tmpl w:val="5D6EBB06"/>
    <w:lvl w:ilvl="0" w:tplc="25E08DC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784"/>
    <w:multiLevelType w:val="multilevel"/>
    <w:tmpl w:val="139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95805B3"/>
    <w:multiLevelType w:val="singleLevel"/>
    <w:tmpl w:val="80A263BC"/>
    <w:lvl w:ilvl="0">
      <w:start w:val="1"/>
      <w:numFmt w:val="decimal"/>
      <w:lvlText w:val="%1.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 w15:restartNumberingAfterBreak="0">
    <w:nsid w:val="3BBB3E3A"/>
    <w:multiLevelType w:val="hybridMultilevel"/>
    <w:tmpl w:val="F992EAF4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5F86CE1"/>
    <w:multiLevelType w:val="hybridMultilevel"/>
    <w:tmpl w:val="5FA812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46"/>
    <w:rsid w:val="000B0446"/>
    <w:rsid w:val="00137EC0"/>
    <w:rsid w:val="001D748A"/>
    <w:rsid w:val="00213B2F"/>
    <w:rsid w:val="00494BD6"/>
    <w:rsid w:val="00653412"/>
    <w:rsid w:val="00772536"/>
    <w:rsid w:val="008256F7"/>
    <w:rsid w:val="00934403"/>
    <w:rsid w:val="00A45926"/>
    <w:rsid w:val="00F4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63D6FCC-9F1D-4B97-B4BD-F8D5B1DB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5926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A45926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59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ea.ms/git-commit/#e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bea.ms/git-commit/#capitalize" TargetMode="External"/><Relationship Id="rId12" Type="http://schemas.openxmlformats.org/officeDocument/2006/relationships/hyperlink" Target="https://cbea.ms/git-commit/#why-not-h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bea.ms/git-commit/#limit-50" TargetMode="External"/><Relationship Id="rId11" Type="http://schemas.openxmlformats.org/officeDocument/2006/relationships/hyperlink" Target="https://cbea.ms/git-commit/#wrap-72" TargetMode="External"/><Relationship Id="rId5" Type="http://schemas.openxmlformats.org/officeDocument/2006/relationships/hyperlink" Target="https://cbea.ms/git-commit/#separate" TargetMode="External"/><Relationship Id="rId10" Type="http://schemas.openxmlformats.org/officeDocument/2006/relationships/hyperlink" Target="https://cbea.ms/git-commit/#imper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ea.ms/posts/git-commit/#limit-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Divya</cp:lastModifiedBy>
  <cp:revision>2</cp:revision>
  <dcterms:created xsi:type="dcterms:W3CDTF">2022-03-25T05:50:00Z</dcterms:created>
  <dcterms:modified xsi:type="dcterms:W3CDTF">2022-03-25T05:50:00Z</dcterms:modified>
</cp:coreProperties>
</file>