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Calibri" w:cs="Calibri" w:eastAsia="Calibri" w:hAnsi="Calibri"/>
          <w:b/>
          <w:bCs/>
          <w:color w:val="1F3864"/>
          <w:sz w:val="40"/>
          <w:szCs w:val="40"/>
        </w:rPr>
        <w:t xml:space="preserve">Vision-Based Desktop Automation with Dynamic Icon Grounding</w:t>
      </w:r>
    </w:p>
    <w:p>
      <w:pPr>
        <w:spacing w:after="360"/>
      </w:pPr>
      <w:r>
        <w:rPr>
          <w:i/>
          <w:iCs/>
          <w:color w:val="555555"/>
          <w:sz w:val="22"/>
          <w:szCs w:val="22"/>
        </w:rPr>
        <w:t xml:space="preserve">Design Document — TJM Labs Take-Home Assignment</w:t>
      </w:r>
    </w:p>
    <w:p>
      <w:pPr>
        <w:pStyle w:val="Heading1"/>
      </w:pPr>
      <w:r>
        <w:t xml:space="preserve">1. Objective</w:t>
      </w:r>
    </w:p>
    <w:p>
      <w:pPr>
        <w:spacing w:after="160" w:line="276"/>
      </w:pPr>
      <w:r>
        <w:t xml:space="preserve">The goal of this assignment is to build a desktop automation program that locates the Notepad application icon on a Windows desktop purely by sight — without relying on hardcoded coordinates, window titles, or OS-level shortcuts — then launches Notepad, retrieves ten blog posts from a public API, types each post into the editor, and saves each as a separate text file. The visual grounding step is the core deliverable: the program must locate the icon the same way a human would, by looking at a screenshot.</w:t>
      </w:r>
    </w:p>
    <w:p>
      <w:pPr>
        <w:pStyle w:val="Heading1"/>
      </w:pPr>
      <w:r>
        <w:t xml:space="preserve">2. Assumptions</w:t>
      </w:r>
    </w:p>
    <w:p>
      <w:pPr>
        <w:pStyle w:val="ListParagraph"/>
        <w:numPr>
          <w:ilvl w:val="0"/>
          <w:numId w:val="2"/>
        </w:numPr>
        <w:spacing w:after="80" w:line="276"/>
      </w:pPr>
      <w:r>
        <w:t xml:space="preserve">The Notepad icon is visible on the desktop at the start of each run (not minimized, not buried in a folder).</w:t>
      </w:r>
    </w:p>
    <w:p>
      <w:pPr>
        <w:pStyle w:val="ListParagraph"/>
        <w:numPr>
          <w:ilvl w:val="0"/>
          <w:numId w:val="2"/>
        </w:numPr>
        <w:spacing w:after="80" w:line="276"/>
      </w:pPr>
      <w:r>
        <w:t xml:space="preserve">The screen resolution and icon layout may vary between machines; the grounding step must not depend on fixed pixel coordinates.</w:t>
      </w:r>
    </w:p>
    <w:p>
      <w:pPr>
        <w:pStyle w:val="ListParagraph"/>
        <w:numPr>
          <w:ilvl w:val="0"/>
          <w:numId w:val="2"/>
        </w:numPr>
        <w:spacing w:after="80" w:line="276"/>
      </w:pPr>
      <w:r>
        <w:t xml:space="preserve">Network access to the post API may be intermittent; a local cache provides a robust fallback so a transient outage does not block the run.</w:t>
      </w:r>
    </w:p>
    <w:p>
      <w:pPr>
        <w:pStyle w:val="ListParagraph"/>
        <w:numPr>
          <w:ilvl w:val="0"/>
          <w:numId w:val="2"/>
        </w:numPr>
        <w:spacing w:after="80" w:line="276"/>
      </w:pPr>
      <w:r>
        <w:t xml:space="preserve">The program runs unattended once started — no manual clicking is required mid-run.</w:t>
      </w:r>
    </w:p>
    <w:p>
      <w:pPr>
        <w:pStyle w:val="Heading1"/>
      </w:pPr>
      <w:r>
        <w:t xml:space="preserve">3. System Architecture</w:t>
      </w:r>
    </w:p>
    <w:p>
      <w:pPr>
        <w:spacing w:after="160" w:line="276"/>
      </w:pPr>
      <w:r>
        <w:t xml:space="preserve">The system is composed of four stages that run once per post, in a loop of ten iterations:</w:t>
      </w:r>
    </w:p>
    <w:p>
      <w:pPr>
        <w:pStyle w:val="ListParagraph"/>
        <w:numPr>
          <w:ilvl w:val="0"/>
          <w:numId w:val="3"/>
        </w:numPr>
        <w:spacing w:after="80" w:line="276"/>
      </w:pPr>
      <w:r>
        <w:t xml:space="preserve">Capture — take a fresh screenshot of the full desktop.</w:t>
      </w:r>
    </w:p>
    <w:p>
      <w:pPr>
        <w:pStyle w:val="ListParagraph"/>
        <w:numPr>
          <w:ilvl w:val="0"/>
          <w:numId w:val="3"/>
        </w:numPr>
        <w:spacing w:after="80" w:line="276"/>
      </w:pPr>
      <w:r>
        <w:t xml:space="preserve">Ground — run the screenshot through a visual grounding pipeline to locate the Notepad icon and return its on-screen coordinates.</w:t>
      </w:r>
    </w:p>
    <w:p>
      <w:pPr>
        <w:pStyle w:val="ListParagraph"/>
        <w:numPr>
          <w:ilvl w:val="0"/>
          <w:numId w:val="3"/>
        </w:numPr>
        <w:spacing w:after="80" w:line="276"/>
      </w:pPr>
      <w:r>
        <w:t xml:space="preserve">Act — double-click the located coordinates to launch Notepad, then type the fetched post text into the editor.</w:t>
      </w:r>
    </w:p>
    <w:p>
      <w:pPr>
        <w:pStyle w:val="ListParagraph"/>
        <w:numPr>
          <w:ilvl w:val="0"/>
          <w:numId w:val="3"/>
        </w:numPr>
        <w:spacing w:after="80" w:line="276"/>
      </w:pPr>
      <w:r>
        <w:t xml:space="preserve">Persist — save the typed content as post_{id}.txt and close Notepad before the next iteration.</w:t>
      </w:r>
    </w:p>
    <w:p>
      <w:pPr>
        <w:spacing w:after="160" w:line="276"/>
      </w:pPr>
      <w:r>
        <w:t xml:space="preserve">Re-grounding on every iteration (rather than caching the icon location after the first detection) was a deliberate choice: it demonstrates that the grounding step is genuinely vision-based and would continue to work even if the icon moved between cycles.</w:t>
      </w:r>
    </w:p>
    <w:p>
      <w:pPr>
        <w:pStyle w:val="Heading1"/>
      </w:pPr>
      <w:r>
        <w:t xml:space="preserve">4. Visual Grounding Approach</w:t>
      </w:r>
    </w:p>
    <w:p>
      <w:pPr>
        <w:spacing w:after="160" w:line="276"/>
      </w:pPr>
      <w:r>
        <w:t xml:space="preserve">The grounding stage is built on Microsoft's OmniParser v2, an open-source screen-parsing model that combines an icon detector with an OCR layer to produce a structured list of interactable screen elements and their bounding boxes. OmniParser was chosen over a paid vision API for three reasons: it runs locally with no per-call cost, it is directly benchmarked in the ScreenSpot-Pro paper referenced below, and it provides interpretable intermediate output (bounding boxes and labels) that can be inspected and debugged, rather than a black-box click coordinate.</w:t>
      </w:r>
    </w:p>
    <w:p>
      <w:pPr>
        <w:spacing w:after="160" w:line="276"/>
      </w:pPr>
      <w:r>
        <w:t xml:space="preserve">The implementation follows the core insight of the required paper, ScreenSpot-Pro: GUI Grounding for Professional High-Resolution Computer Use (Li et al., 2025), which observes that grounding accuracy on high-resolution screens improves substantially when the search is narrowed from the full screen to a focused region before fine localization. The pipeline applies this as a coarse-to-fine strategy: a first pass parses the full screenshot to identify the general desktop icon region, and a second pass re-examines that narrower crop to pinpoint the exact icon centre. The OCR layer's text recognition (matching the label “Notepad” under the icon) is used as the primary disambiguation signal once the icon-shaped region is found, since icon glyphs alone are visually similar across applications.</w:t>
      </w:r>
    </w:p>
    <w:p>
      <w:pPr>
        <w:pStyle w:val="Heading1"/>
      </w:pPr>
      <w:r>
        <w:t xml:space="preserve">5. Implementation Details</w:t>
      </w:r>
    </w:p>
    <w:p>
      <w:pPr>
        <w:pStyle w:val="Heading2"/>
      </w:pPr>
      <w:r>
        <w:t xml:space="preserve">5.1 Environment</w:t>
      </w:r>
    </w:p>
    <w:p>
      <w:pPr>
        <w:pStyle w:val="ListParagraph"/>
        <w:numPr>
          <w:ilvl w:val="0"/>
          <w:numId w:val="2"/>
        </w:numPr>
        <w:spacing w:after="80" w:line="276"/>
      </w:pPr>
      <w:r>
        <w:t xml:space="preserve">Python 3.12, managed via a dedicated Conda environment to isolate dependencies from the system Python.</w:t>
      </w:r>
    </w:p>
    <w:p>
      <w:pPr>
        <w:pStyle w:val="ListParagraph"/>
        <w:numPr>
          <w:ilvl w:val="0"/>
          <w:numId w:val="2"/>
        </w:numPr>
        <w:spacing w:after="80" w:line="276"/>
      </w:pPr>
      <w:r>
        <w:t xml:space="preserve">PyTorch with CUDA acceleration where a compatible GPU is available, with automatic fallback to CPU — the grounding logic is identical either way, only inference latency differs.</w:t>
      </w:r>
    </w:p>
    <w:p>
      <w:pPr>
        <w:pStyle w:val="ListParagraph"/>
        <w:numPr>
          <w:ilvl w:val="0"/>
          <w:numId w:val="2"/>
        </w:numPr>
        <w:spacing w:after="80" w:line="276"/>
      </w:pPr>
      <w:r>
        <w:t xml:space="preserve">pyautogui for screen capture, mouse control, and keyboard input.</w:t>
      </w:r>
    </w:p>
    <w:p>
      <w:pPr>
        <w:pStyle w:val="Heading2"/>
      </w:pPr>
      <w:r>
        <w:t xml:space="preserve">5.2 Data Source</w:t>
      </w:r>
    </w:p>
    <w:p>
      <w:pPr>
        <w:spacing w:after="160" w:line="276"/>
      </w:pPr>
      <w:r>
        <w:t xml:space="preserve">Posts are fetched from the JSONPlaceholder REST API (jsonplaceholder.typicode.com/posts). The fetch is retried up to three times on failure; if the network is unavailable after retries, the program falls back to a local posts_cache.json populated from a previous successful fetch, so a transient connectivity issue does not stop the run.</w:t>
      </w:r>
    </w:p>
    <w:p>
      <w:pPr>
        <w:pStyle w:val="Heading2"/>
      </w:pPr>
      <w:r>
        <w:t xml:space="preserve">5.3 Robustness</w:t>
      </w:r>
    </w:p>
    <w:p>
      <w:pPr>
        <w:pStyle w:val="ListParagraph"/>
        <w:numPr>
          <w:ilvl w:val="0"/>
          <w:numId w:val="2"/>
        </w:numPr>
        <w:spacing w:after="80" w:line="276"/>
      </w:pPr>
      <w:r>
        <w:t xml:space="preserve">Each of the ten post-processing cycles is wrapped independently, so a failure on one post is logged and the loop continues rather than terminating the entire run.</w:t>
      </w:r>
    </w:p>
    <w:p>
      <w:pPr>
        <w:pStyle w:val="ListParagraph"/>
        <w:numPr>
          <w:ilvl w:val="0"/>
          <w:numId w:val="2"/>
        </w:numPr>
        <w:spacing w:after="80" w:line="276"/>
      </w:pPr>
      <w:r>
        <w:t xml:space="preserve">The editor is explicitly cleared (select-all, delete) before typing begins, preventing content from one cycle bleeding into the next.</w:t>
      </w:r>
    </w:p>
    <w:p>
      <w:pPr>
        <w:pStyle w:val="ListParagraph"/>
        <w:numPr>
          <w:ilvl w:val="0"/>
          <w:numId w:val="2"/>
        </w:numPr>
        <w:spacing w:after="80" w:line="276"/>
      </w:pPr>
      <w:r>
        <w:t xml:space="preserve">The run prints a final summary line (e.g. “Done. X/10 posts processed.”) so the outcome of an unattended run is always visible.</w:t>
      </w:r>
    </w:p>
    <w:p>
      <w:pPr>
        <w:pStyle w:val="Heading1"/>
      </w:pPr>
      <w:r>
        <w:t xml:space="preserve">6. Output</w:t>
      </w:r>
    </w:p>
    <w:p>
      <w:pPr>
        <w:spacing w:after="160" w:line="276"/>
      </w:pPr>
      <w:r>
        <w:t xml:space="preserve">Each successful cycle produces one file, post_{id}.txt, written to Desktop/tjm-project, containing the title and body of the corresponding blog post exactly as typed into Notepad.</w:t>
      </w:r>
    </w:p>
    <w:p>
      <w:pPr>
        <w:pStyle w:val="Heading1"/>
      </w:pPr>
      <w:r>
        <w:t xml:space="preserve">7. Evaluation Against the Reference Paper</w:t>
      </w:r>
    </w:p>
    <w:p>
      <w:pPr>
        <w:spacing w:after="160" w:line="276"/>
      </w:pPr>
      <w:r>
        <w:t xml:space="preserve">ScreenSpot-Pro evaluates grounding models on professional, high-resolution screenshots and finds that most general-purpose vision-language models struggle with small UI elements at full resolution, while accuracy improves significantly when the search space is reduced before fine localization. This project's two-pass coarse-to-fine design is a direct, small-scale application of that finding: rather than asking the model to localize a small icon within an entire 1080p+ desktop in one shot, the search is narrowed first, then refined.</w:t>
      </w:r>
    </w:p>
    <w:p>
      <w:pPr>
        <w:pStyle w:val="Heading1"/>
      </w:pPr>
      <w:r>
        <w:t xml:space="preserve">8. Performance Considerations</w:t>
      </w:r>
    </w:p>
    <w:p>
      <w:pPr>
        <w:spacing w:after="160" w:line="276"/>
      </w:pPr>
      <w:r>
        <w:t xml:space="preserve">Each grounding pass involves a forward pass through an icon-detection model and a caption/OCR model, which is the dominant cost per cycle. On a GPU-equipped machine this completes in roughly a second or two per pass; on CPU-only hardware it is meaningfully slower, which is the main lever for total run time. For this batch task — ten posts processed sequentially — that latency is acceptable on either path. If throughput became important at scale, the natural next optimisations are: caching the coarse region between cycles when the desktop layout is static, and down-scaling the first coarse pass while keeping the fine pass at full resolution.</w:t>
      </w:r>
    </w:p>
    <w:p>
      <w:pPr>
        <w:pStyle w:val="Heading1"/>
      </w:pPr>
      <w:r>
        <w:t xml:space="preserve">9. Trade-offs and Future Work</w:t>
      </w:r>
    </w:p>
    <w:p>
      <w:pPr>
        <w:pStyle w:val="ListParagraph"/>
        <w:numPr>
          <w:ilvl w:val="0"/>
          <w:numId w:val="2"/>
        </w:numPr>
        <w:spacing w:after="80" w:line="276"/>
      </w:pPr>
      <w:r>
        <w:t xml:space="preserve">CPU vs GPU: the pipeline is written to use GPU acceleration automatically when available and fall back to CPU otherwise, trading portability against per-frame latency.</w:t>
      </w:r>
    </w:p>
    <w:p>
      <w:pPr>
        <w:pStyle w:val="ListParagraph"/>
        <w:numPr>
          <w:ilvl w:val="0"/>
          <w:numId w:val="2"/>
        </w:numPr>
        <w:spacing w:after="80" w:line="276"/>
      </w:pPr>
      <w:r>
        <w:t xml:space="preserve">Generality vs speed: a full pure-vision parse of the screen is heavier than a targeted template search, but it is far more robust and general — the right trade for the assignment's stated goal of scalable visual grounding.</w:t>
      </w:r>
    </w:p>
    <w:p>
      <w:pPr>
        <w:pStyle w:val="ListParagraph"/>
        <w:numPr>
          <w:ilvl w:val="0"/>
          <w:numId w:val="2"/>
        </w:numPr>
        <w:spacing w:after="80" w:line="276"/>
      </w:pPr>
      <w:r>
        <w:t xml:space="preserve">Future work: detect multiple desktop icons and disambiguate among them; explicit handling of small/medium/large Windows icon sizes; support for both light and dark desktop themes; and a confidence-thresholded fallback strategy when grounding is uncertain.</w:t>
      </w:r>
    </w:p>
    <w:p>
      <w:pPr>
        <w:pStyle w:val="Heading1"/>
      </w:pPr>
      <w:r>
        <w:t xml:space="preserve">Reference</w:t>
      </w:r>
    </w:p>
    <w:p>
      <w:pPr>
        <w:spacing w:after="160" w:line="276"/>
      </w:pPr>
      <w:r>
        <w:t xml:space="preserve">Li, K., Meng, Z., Lin, H., Luo, Z., Tian, Y., Ma, J., Huang, Z., Chua, T.-S. (2025). </w:t>
      </w:r>
      <w:r>
        <w:rPr>
          <w:i/>
          <w:iCs/>
        </w:rPr>
        <w:t xml:space="preserve">ScreenSpot-Pro: GUI Grounding for Professional High-Resolution Computer Use</w:t>
      </w:r>
      <w:r>
        <w:t xml:space="preserve">. arXiv:2504.07981. </w:t>
      </w:r>
      <w:hyperlink w:history="1" r:id="rIdmi_nczpjh92cx91ukphjx">
        <w:r>
          <w:rPr>
            <w:rStyle w:val="Hyperlink"/>
            <w:color w:val="0563C1"/>
            <w:u w:val="single"/>
          </w:rPr>
          <w:t xml:space="preserve">https://arxiv.org/pdf/2504.07981</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E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i_nczpjh92cx91ukphjx" Type="http://schemas.openxmlformats.org/officeDocument/2006/relationships/hyperlink" Target="https://arxiv.org/pdf/2504.07981"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2026-06-30T22:36:36.950Z</dcterms:created>
  <dcterms:modified xsi:type="dcterms:W3CDTF">2026-06-30T22:36:36.950Z</dcterms:modified>
</cp:coreProperties>
</file>

<file path=docProps/custom.xml><?xml version="1.0" encoding="utf-8"?>
<Properties xmlns="http://schemas.openxmlformats.org/officeDocument/2006/custom-properties" xmlns:vt="http://schemas.openxmlformats.org/officeDocument/2006/docPropsVTypes"/>
</file>