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Evidence &amp; Working Solution</w:t>
      </w:r>
    </w:p>
    <w:p>
      <w:r>
        <w:t>Multimodal Clinical Decision Support for Pulmonary Pathology — SIC AI Track</w:t>
      </w:r>
    </w:p>
    <w:p>
      <w:r>
        <w:t xml:space="preserve">Current submission: 28 October 2026. All primary results below belong to </w:t>
      </w:r>
      <w:r>
        <w:rPr>
          <w:b/>
        </w:rPr>
        <w:t>0.2.0-team29-47e281fc</w:t>
      </w:r>
      <w:r>
        <w:t>. This replaces the previous technical evidence document's current-model narrative; historical v1 records remain separately available. Source: SIC handbook, page 17, “The complete submission package”.</w:t>
      </w:r>
    </w:p>
    <w:p>
      <w:pPr>
        <w:pStyle w:val="Heading1"/>
        <w:pageBreakBefore w:val="0"/>
      </w:pPr>
      <w:r>
        <w:t>1. System, Data Assets and Reproduction</w:t>
      </w:r>
    </w:p>
    <w:tbl>
      <w:tblPr>
        <w:tblStyle w:val="LightShading-Accent1"/>
        <w:tblW w:type="auto" w:w="0"/>
        <w:tblLook w:firstColumn="1" w:firstRow="1" w:lastColumn="0" w:lastRow="0" w:noHBand="0" w:noVBand="1" w:val="04A0"/>
      </w:tblPr>
      <w:tblGrid>
        <w:gridCol w:w="5018"/>
        <w:gridCol w:w="5018"/>
      </w:tblGrid>
      <w:tr>
        <w:trPr>
          <w:tblHeader/>
          <w:cantSplit/>
        </w:trPr>
        <w:tc>
          <w:tcPr>
            <w:tcW w:type="dxa" w:w="5018"/>
          </w:tcPr>
          <w:p>
            <w:pPr>
              <w:spacing w:after="100"/>
            </w:pPr>
            <w:r>
              <w:rPr>
                <w:b/>
                <w:sz w:val="20"/>
              </w:rPr>
              <w:t>Property</w:t>
            </w:r>
          </w:p>
        </w:tc>
        <w:tc>
          <w:tcPr>
            <w:tcW w:type="dxa" w:w="5018"/>
          </w:tcPr>
          <w:p>
            <w:pPr>
              <w:spacing w:after="100"/>
            </w:pPr>
            <w:r>
              <w:rPr>
                <w:b/>
                <w:sz w:val="20"/>
              </w:rPr>
              <w:t>Current value</w:t>
            </w:r>
          </w:p>
        </w:tc>
      </w:tr>
      <w:tr>
        <w:trPr>
          <w:cantSplit/>
        </w:trPr>
        <w:tc>
          <w:tcPr>
            <w:tcW w:type="dxa" w:w="5018"/>
          </w:tcPr>
          <w:p>
            <w:pPr>
              <w:spacing w:after="100"/>
            </w:pPr>
            <w:r>
              <w:rPr>
                <w:sz w:val="20"/>
              </w:rPr>
              <w:t>Model bundle</w:t>
            </w:r>
          </w:p>
        </w:tc>
        <w:tc>
          <w:tcPr>
            <w:tcW w:type="dxa" w:w="5018"/>
          </w:tcPr>
          <w:p>
            <w:pPr>
              <w:spacing w:after="100"/>
            </w:pPr>
            <w:r>
              <w:rPr>
                <w:rFonts w:ascii="Consolas" w:hAnsi="Consolas"/>
                <w:sz w:val="20"/>
              </w:rPr>
              <w:t>artifacts/team_bundle/manifest.json</w:t>
            </w:r>
          </w:p>
        </w:tc>
      </w:tr>
      <w:tr>
        <w:trPr>
          <w:cantSplit/>
        </w:trPr>
        <w:tc>
          <w:tcPr>
            <w:tcW w:type="dxa" w:w="5018"/>
          </w:tcPr>
          <w:p>
            <w:pPr>
              <w:spacing w:after="100"/>
            </w:pPr>
            <w:r>
              <w:rPr>
                <w:sz w:val="20"/>
              </w:rPr>
              <w:t>Classifier</w:t>
            </w:r>
          </w:p>
        </w:tc>
        <w:tc>
          <w:tcPr>
            <w:tcW w:type="dxa" w:w="5018"/>
          </w:tcPr>
          <w:p>
            <w:pPr>
              <w:spacing w:after="100"/>
            </w:pPr>
            <w:r>
              <w:rPr>
                <w:sz w:val="20"/>
              </w:rPr>
              <w:t>ResNet50 + DenseNet121 image ensemble, TF-IDF Logistic Regression</w:t>
            </w:r>
          </w:p>
        </w:tc>
      </w:tr>
      <w:tr>
        <w:trPr>
          <w:cantSplit/>
        </w:trPr>
        <w:tc>
          <w:tcPr>
            <w:tcW w:type="dxa" w:w="5018"/>
          </w:tcPr>
          <w:p>
            <w:pPr>
              <w:spacing w:after="100"/>
            </w:pPr>
            <w:r>
              <w:rPr>
                <w:sz w:val="20"/>
              </w:rPr>
              <w:t>Fusion</w:t>
            </w:r>
          </w:p>
        </w:tc>
        <w:tc>
          <w:tcPr>
            <w:tcW w:type="dxa" w:w="5018"/>
          </w:tcPr>
          <w:p>
            <w:pPr>
              <w:spacing w:after="100"/>
            </w:pPr>
            <w:r>
              <w:rPr>
                <w:sz w:val="20"/>
              </w:rPr>
              <w:t>70% image ensemble + 30% text</w:t>
            </w:r>
          </w:p>
        </w:tc>
      </w:tr>
      <w:tr>
        <w:trPr>
          <w:cantSplit/>
        </w:trPr>
        <w:tc>
          <w:tcPr>
            <w:tcW w:type="dxa" w:w="5018"/>
          </w:tcPr>
          <w:p>
            <w:pPr>
              <w:spacing w:after="100"/>
            </w:pPr>
            <w:r>
              <w:rPr>
                <w:sz w:val="20"/>
              </w:rPr>
              <w:t>Decision threshold</w:t>
            </w:r>
          </w:p>
        </w:tc>
        <w:tc>
          <w:tcPr>
            <w:tcW w:type="dxa" w:w="5018"/>
          </w:tcPr>
          <w:p>
            <w:pPr>
              <w:spacing w:after="100"/>
            </w:pPr>
            <w:r>
              <w:rPr>
                <w:sz w:val="20"/>
              </w:rPr>
              <w:t>0.49; selected by validation balanced accuracy</w:t>
            </w:r>
          </w:p>
        </w:tc>
      </w:tr>
      <w:tr>
        <w:trPr>
          <w:cantSplit/>
        </w:trPr>
        <w:tc>
          <w:tcPr>
            <w:tcW w:type="dxa" w:w="5018"/>
          </w:tcPr>
          <w:p>
            <w:pPr>
              <w:spacing w:after="100"/>
            </w:pPr>
            <w:r>
              <w:rPr>
                <w:sz w:val="20"/>
              </w:rPr>
              <w:t>Evaluation unit</w:t>
            </w:r>
          </w:p>
        </w:tc>
        <w:tc>
          <w:tcPr>
            <w:tcW w:type="dxa" w:w="5018"/>
          </w:tcPr>
          <w:p>
            <w:pPr>
              <w:spacing w:after="100"/>
            </w:pPr>
            <w:r>
              <w:rPr>
                <w:sz w:val="20"/>
              </w:rPr>
              <w:t>Study mean across available views; UI input is one image</w:t>
            </w:r>
          </w:p>
        </w:tc>
      </w:tr>
      <w:tr>
        <w:trPr>
          <w:cantSplit/>
        </w:trPr>
        <w:tc>
          <w:tcPr>
            <w:tcW w:type="dxa" w:w="5018"/>
          </w:tcPr>
          <w:p>
            <w:pPr>
              <w:spacing w:after="100"/>
            </w:pPr>
            <w:r>
              <w:rPr>
                <w:sz w:val="20"/>
              </w:rPr>
              <w:t>Default report</w:t>
            </w:r>
          </w:p>
        </w:tc>
        <w:tc>
          <w:tcPr>
            <w:tcW w:type="dxa" w:w="5018"/>
          </w:tcPr>
          <w:p>
            <w:pPr>
              <w:spacing w:after="100"/>
            </w:pPr>
            <w:r>
              <w:rPr>
                <w:sz w:val="20"/>
              </w:rPr>
              <w:t>Rule-based evidence summary; clinician verification required</w:t>
            </w:r>
          </w:p>
        </w:tc>
      </w:tr>
      <w:tr>
        <w:trPr>
          <w:cantSplit/>
        </w:trPr>
        <w:tc>
          <w:tcPr>
            <w:tcW w:type="dxa" w:w="5018"/>
          </w:tcPr>
          <w:p>
            <w:pPr>
              <w:spacing w:after="100"/>
            </w:pPr>
            <w:r>
              <w:rPr>
                <w:sz w:val="20"/>
              </w:rPr>
              <w:t>Source modules</w:t>
            </w:r>
          </w:p>
        </w:tc>
        <w:tc>
          <w:tcPr>
            <w:tcW w:type="dxa" w:w="5018"/>
          </w:tcPr>
          <w:p>
            <w:pPr>
              <w:spacing w:after="100"/>
            </w:pPr>
            <w:r>
              <w:rPr>
                <w:rFonts w:ascii="Consolas" w:hAnsi="Consolas"/>
                <w:sz w:val="20"/>
              </w:rPr>
              <w:t>team_classification.py</w:t>
            </w:r>
            <w:r>
              <w:rPr>
                <w:sz w:val="20"/>
              </w:rPr>
              <w:t xml:space="preserve">, </w:t>
            </w:r>
            <w:r>
              <w:rPr>
                <w:rFonts w:ascii="Consolas" w:hAnsi="Consolas"/>
                <w:sz w:val="20"/>
              </w:rPr>
              <w:t>team_features.py</w:t>
            </w:r>
            <w:r>
              <w:rPr>
                <w:sz w:val="20"/>
              </w:rPr>
              <w:t xml:space="preserve">, </w:t>
            </w:r>
            <w:r>
              <w:rPr>
                <w:rFonts w:ascii="Consolas" w:hAnsi="Consolas"/>
                <w:sz w:val="20"/>
              </w:rPr>
              <w:t>team_inference.py</w:t>
            </w:r>
          </w:p>
        </w:tc>
      </w:tr>
    </w:tbl>
    <w:p/>
    <w:p>
      <w:pPr>
        <w:keepNext/>
        <w:jc w:val="center"/>
      </w:pPr>
      <w:r>
        <w:drawing>
          <wp:inline xmlns:a="http://schemas.openxmlformats.org/drawingml/2006/main" xmlns:pic="http://schemas.openxmlformats.org/drawingml/2006/picture">
            <wp:extent cx="6035040" cy="280198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2801983"/>
                    </a:xfrm>
                    <a:prstGeom prst="rect"/>
                  </pic:spPr>
                </pic:pic>
              </a:graphicData>
            </a:graphic>
          </wp:inline>
        </w:drawing>
      </w:r>
    </w:p>
    <w:p>
      <w:pPr>
        <w:pStyle w:val="Caption"/>
        <w:jc w:val="center"/>
      </w:pPr>
      <w:r>
        <w:t>Current training and serving architecture</w:t>
      </w:r>
    </w:p>
    <w:p>
      <w:r>
        <w:t xml:space="preserve">The Indiana University collection is distributed through NLM Open-i; this project uses the </w:t>
      </w:r>
      <w:r>
        <w:rPr>
          <w:rFonts w:ascii="Consolas" w:hAnsi="Consolas"/>
          <w:sz w:val="18"/>
        </w:rPr>
        <w:t>raddar/chest-xrays-indiana-university</w:t>
      </w:r>
      <w:r>
        <w:t xml:space="preserve"> Kaggle mirror. The local source has 3,851 reports and 7,466 image records. The selected cohort requires a frontal view, retains at most one frontal and one lateral image and excludes uncertain and poor-quality cases. It contains 2,371 studies and 4,543 image rows.</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tcPr>
          <w:p>
            <w:pPr>
              <w:spacing w:after="100"/>
            </w:pPr>
            <w:r>
              <w:rPr>
                <w:b/>
                <w:sz w:val="20"/>
              </w:rPr>
              <w:t>Split</w:t>
            </w:r>
          </w:p>
        </w:tc>
        <w:tc>
          <w:tcPr>
            <w:tcW w:type="dxa" w:w="3346"/>
          </w:tcPr>
          <w:p>
            <w:pPr>
              <w:spacing w:after="100"/>
            </w:pPr>
            <w:r>
              <w:rPr>
                <w:b/>
                <w:sz w:val="20"/>
              </w:rPr>
              <w:t>Studies</w:t>
            </w:r>
          </w:p>
        </w:tc>
        <w:tc>
          <w:tcPr>
            <w:tcW w:type="dxa" w:w="3346"/>
          </w:tcPr>
          <w:p>
            <w:pPr>
              <w:spacing w:after="100"/>
            </w:pPr>
            <w:r>
              <w:rPr>
                <w:b/>
                <w:sz w:val="20"/>
              </w:rPr>
              <w:t>Image rows</w:t>
            </w:r>
          </w:p>
        </w:tc>
      </w:tr>
      <w:tr>
        <w:trPr>
          <w:cantSplit/>
        </w:trPr>
        <w:tc>
          <w:tcPr>
            <w:tcW w:type="dxa" w:w="3346"/>
          </w:tcPr>
          <w:p>
            <w:pPr>
              <w:spacing w:after="100"/>
            </w:pPr>
            <w:r>
              <w:rPr>
                <w:sz w:val="20"/>
              </w:rPr>
              <w:t>Train</w:t>
            </w:r>
          </w:p>
        </w:tc>
        <w:tc>
          <w:tcPr>
            <w:tcW w:type="dxa" w:w="3346"/>
          </w:tcPr>
          <w:p>
            <w:pPr>
              <w:spacing w:after="100"/>
            </w:pPr>
            <w:r>
              <w:rPr>
                <w:sz w:val="20"/>
              </w:rPr>
              <w:t>1,660</w:t>
            </w:r>
          </w:p>
        </w:tc>
        <w:tc>
          <w:tcPr>
            <w:tcW w:type="dxa" w:w="3346"/>
          </w:tcPr>
          <w:p>
            <w:pPr>
              <w:spacing w:after="100"/>
            </w:pPr>
            <w:r>
              <w:rPr>
                <w:sz w:val="20"/>
              </w:rPr>
              <w:t>3,179</w:t>
            </w:r>
          </w:p>
        </w:tc>
      </w:tr>
      <w:tr>
        <w:trPr>
          <w:cantSplit/>
        </w:trPr>
        <w:tc>
          <w:tcPr>
            <w:tcW w:type="dxa" w:w="3346"/>
          </w:tcPr>
          <w:p>
            <w:pPr>
              <w:spacing w:after="100"/>
            </w:pPr>
            <w:r>
              <w:rPr>
                <w:sz w:val="20"/>
              </w:rPr>
              <w:t>Validation</w:t>
            </w:r>
          </w:p>
        </w:tc>
        <w:tc>
          <w:tcPr>
            <w:tcW w:type="dxa" w:w="3346"/>
          </w:tcPr>
          <w:p>
            <w:pPr>
              <w:spacing w:after="100"/>
            </w:pPr>
            <w:r>
              <w:rPr>
                <w:sz w:val="20"/>
              </w:rPr>
              <w:t>355</w:t>
            </w:r>
          </w:p>
        </w:tc>
        <w:tc>
          <w:tcPr>
            <w:tcW w:type="dxa" w:w="3346"/>
          </w:tcPr>
          <w:p>
            <w:pPr>
              <w:spacing w:after="100"/>
            </w:pPr>
            <w:r>
              <w:rPr>
                <w:sz w:val="20"/>
              </w:rPr>
              <w:t>683</w:t>
            </w:r>
          </w:p>
        </w:tc>
      </w:tr>
      <w:tr>
        <w:trPr>
          <w:cantSplit/>
        </w:trPr>
        <w:tc>
          <w:tcPr>
            <w:tcW w:type="dxa" w:w="3346"/>
          </w:tcPr>
          <w:p>
            <w:pPr>
              <w:spacing w:after="100"/>
            </w:pPr>
            <w:r>
              <w:rPr>
                <w:sz w:val="20"/>
              </w:rPr>
              <w:t>Held-out test</w:t>
            </w:r>
          </w:p>
        </w:tc>
        <w:tc>
          <w:tcPr>
            <w:tcW w:type="dxa" w:w="3346"/>
          </w:tcPr>
          <w:p>
            <w:pPr>
              <w:spacing w:after="100"/>
            </w:pPr>
            <w:r>
              <w:rPr>
                <w:sz w:val="20"/>
              </w:rPr>
              <w:t>356</w:t>
            </w:r>
          </w:p>
        </w:tc>
        <w:tc>
          <w:tcPr>
            <w:tcW w:type="dxa" w:w="3346"/>
          </w:tcPr>
          <w:p>
            <w:pPr>
              <w:spacing w:after="100"/>
            </w:pPr>
            <w:r>
              <w:rPr>
                <w:sz w:val="20"/>
              </w:rPr>
              <w:t>681</w:t>
            </w:r>
          </w:p>
        </w:tc>
      </w:tr>
    </w:tbl>
    <w:p/>
    <w:tbl>
      <w:tblPr>
        <w:tblStyle w:val="LightShading-Accent1"/>
        <w:tblW w:type="auto" w:w="0"/>
        <w:tblLook w:firstColumn="1" w:firstRow="1" w:lastColumn="0" w:lastRow="0" w:noHBand="0" w:noVBand="1" w:val="04A0"/>
      </w:tblPr>
      <w:tblGrid>
        <w:gridCol w:w="5018"/>
        <w:gridCol w:w="5018"/>
      </w:tblGrid>
      <w:tr>
        <w:trPr>
          <w:tblHeader/>
          <w:cantSplit/>
        </w:trPr>
        <w:tc>
          <w:tcPr>
            <w:tcW w:type="dxa" w:w="5018"/>
          </w:tcPr>
          <w:p>
            <w:pPr>
              <w:spacing w:after="100"/>
            </w:pPr>
            <w:r>
              <w:rPr>
                <w:b/>
                <w:sz w:val="20"/>
              </w:rPr>
              <w:t>Field</w:t>
            </w:r>
          </w:p>
        </w:tc>
        <w:tc>
          <w:tcPr>
            <w:tcW w:type="dxa" w:w="5018"/>
          </w:tcPr>
          <w:p>
            <w:pPr>
              <w:spacing w:after="100"/>
            </w:pPr>
            <w:r>
              <w:rPr>
                <w:b/>
                <w:sz w:val="20"/>
              </w:rPr>
              <w:t>Definition / permitted use</w:t>
            </w:r>
          </w:p>
        </w:tc>
      </w:tr>
      <w:tr>
        <w:trPr>
          <w:cantSplit/>
        </w:trPr>
        <w:tc>
          <w:tcPr>
            <w:tcW w:type="dxa" w:w="5018"/>
          </w:tcPr>
          <w:p>
            <w:pPr>
              <w:spacing w:after="100"/>
            </w:pPr>
            <w:r>
              <w:rPr>
                <w:sz w:val="20"/>
              </w:rPr>
              <w:t>uid</w:t>
            </w:r>
          </w:p>
        </w:tc>
        <w:tc>
          <w:tcPr>
            <w:tcW w:type="dxa" w:w="5018"/>
          </w:tcPr>
          <w:p>
            <w:pPr>
              <w:spacing w:after="100"/>
            </w:pPr>
            <w:r>
              <w:rPr>
                <w:sz w:val="20"/>
              </w:rPr>
              <w:t>Report/study identifier; not a verified patient identifier</w:t>
            </w:r>
          </w:p>
        </w:tc>
      </w:tr>
      <w:tr>
        <w:trPr>
          <w:cantSplit/>
        </w:trPr>
        <w:tc>
          <w:tcPr>
            <w:tcW w:type="dxa" w:w="5018"/>
          </w:tcPr>
          <w:p>
            <w:pPr>
              <w:spacing w:after="100"/>
            </w:pPr>
            <w:r>
              <w:rPr>
                <w:sz w:val="20"/>
              </w:rPr>
              <w:t>filename / projection</w:t>
            </w:r>
          </w:p>
        </w:tc>
        <w:tc>
          <w:tcPr>
            <w:tcW w:type="dxa" w:w="5018"/>
          </w:tcPr>
          <w:p>
            <w:pPr>
              <w:spacing w:after="100"/>
            </w:pPr>
            <w:r>
              <w:rPr>
                <w:sz w:val="20"/>
              </w:rPr>
              <w:t>Image pairing and frontal/lateral view metadata</w:t>
            </w:r>
          </w:p>
        </w:tc>
      </w:tr>
      <w:tr>
        <w:trPr>
          <w:cantSplit/>
        </w:trPr>
        <w:tc>
          <w:tcPr>
            <w:tcW w:type="dxa" w:w="5018"/>
          </w:tcPr>
          <w:p>
            <w:pPr>
              <w:spacing w:after="100"/>
            </w:pPr>
            <w:r>
              <w:rPr>
                <w:sz w:val="20"/>
              </w:rPr>
              <w:t>indication</w:t>
            </w:r>
          </w:p>
        </w:tc>
        <w:tc>
          <w:tcPr>
            <w:tcW w:type="dxa" w:w="5018"/>
          </w:tcPr>
          <w:p>
            <w:pPr>
              <w:spacing w:after="100"/>
            </w:pPr>
            <w:r>
              <w:rPr>
                <w:sz w:val="20"/>
              </w:rPr>
              <w:t>Pre-examination clinical context; classifier input</w:t>
            </w:r>
          </w:p>
        </w:tc>
      </w:tr>
      <w:tr>
        <w:trPr>
          <w:cantSplit/>
        </w:trPr>
        <w:tc>
          <w:tcPr>
            <w:tcW w:type="dxa" w:w="5018"/>
          </w:tcPr>
          <w:p>
            <w:pPr>
              <w:spacing w:after="100"/>
            </w:pPr>
            <w:r>
              <w:rPr>
                <w:sz w:val="20"/>
              </w:rPr>
              <w:t>comparison</w:t>
            </w:r>
          </w:p>
        </w:tc>
        <w:tc>
          <w:tcPr>
            <w:tcW w:type="dxa" w:w="5018"/>
          </w:tcPr>
          <w:p>
            <w:pPr>
              <w:spacing w:after="100"/>
            </w:pPr>
            <w:r>
              <w:rPr>
                <w:sz w:val="20"/>
              </w:rPr>
              <w:t>Prior-study context; optional classifier input</w:t>
            </w:r>
          </w:p>
        </w:tc>
      </w:tr>
      <w:tr>
        <w:trPr>
          <w:cantSplit/>
        </w:trPr>
        <w:tc>
          <w:tcPr>
            <w:tcW w:type="dxa" w:w="5018"/>
          </w:tcPr>
          <w:p>
            <w:pPr>
              <w:spacing w:after="100"/>
            </w:pPr>
            <w:r>
              <w:rPr>
                <w:sz w:val="20"/>
              </w:rPr>
              <w:t>findings / impression</w:t>
            </w:r>
          </w:p>
        </w:tc>
        <w:tc>
          <w:tcPr>
            <w:tcW w:type="dxa" w:w="5018"/>
          </w:tcPr>
          <w:p>
            <w:pPr>
              <w:spacing w:after="100"/>
            </w:pPr>
            <w:r>
              <w:rPr>
                <w:sz w:val="20"/>
              </w:rPr>
              <w:t>Current interpretation; excluded from classifier predictors</w:t>
            </w:r>
          </w:p>
        </w:tc>
      </w:tr>
      <w:tr>
        <w:trPr>
          <w:cantSplit/>
        </w:trPr>
        <w:tc>
          <w:tcPr>
            <w:tcW w:type="dxa" w:w="5018"/>
          </w:tcPr>
          <w:p>
            <w:pPr>
              <w:spacing w:after="100"/>
            </w:pPr>
            <w:r>
              <w:rPr>
                <w:sz w:val="20"/>
              </w:rPr>
              <w:t>Problems / MeSH</w:t>
            </w:r>
          </w:p>
        </w:tc>
        <w:tc>
          <w:tcPr>
            <w:tcW w:type="dxa" w:w="5018"/>
          </w:tcPr>
          <w:p>
            <w:pPr>
              <w:spacing w:after="100"/>
            </w:pPr>
            <w:r>
              <w:rPr>
                <w:sz w:val="20"/>
              </w:rPr>
              <w:t>Structured weak-label sources; never classifier features</w:t>
            </w:r>
          </w:p>
        </w:tc>
      </w:tr>
      <w:tr>
        <w:trPr>
          <w:cantSplit/>
        </w:trPr>
        <w:tc>
          <w:tcPr>
            <w:tcW w:type="dxa" w:w="5018"/>
          </w:tcPr>
          <w:p>
            <w:pPr>
              <w:spacing w:after="100"/>
            </w:pPr>
            <w:r>
              <w:rPr>
                <w:sz w:val="20"/>
              </w:rPr>
              <w:t>target</w:t>
            </w:r>
          </w:p>
        </w:tc>
        <w:tc>
          <w:tcPr>
            <w:tcW w:type="dxa" w:w="5018"/>
          </w:tcPr>
          <w:p>
            <w:pPr>
              <w:spacing w:after="100"/>
            </w:pPr>
            <w:r>
              <w:rPr>
                <w:sz w:val="20"/>
              </w:rPr>
              <w:t>Normal=0, Abnormal=1; uncertain cases excluded</w:t>
            </w:r>
          </w:p>
        </w:tc>
      </w:tr>
    </w:tbl>
    <w:p/>
    <w:p>
      <w:r>
        <w:t>Normal requires the exclusive Normal problem tag with no core abnormal tag. Abnormal uses ten core groups, including cardiomegaly and fractures as well as pulmonary findings. Contradictory cases are uncertain. A strict labeling rule moves 57 chronic-only cases with a first-sentence “no acute” impression to uncertain. That impression is used for cohort labeling, not as a predictor. The target is a broad weak thoracic proxy, not an adjudicated pathology diagnosis.</w:t>
      </w:r>
    </w:p>
    <w:p>
      <w:r>
        <w:t xml:space="preserve">Both views of a UID stay together. The selected cohort's SHA-256 audit found no exact duplicated image rows and required no split reassignment. Near duplicates and true patient independence are not established. Shared preprocessing uses grayscale, aspect-preserving Lanczos padding to 384 × 384, RGB conversion and ImageNet normalization. Data dictionary and both experiment profiles are in </w:t>
      </w:r>
      <w:r>
        <w:rPr>
          <w:rFonts w:ascii="Consolas" w:hAnsi="Consolas"/>
          <w:sz w:val="18"/>
        </w:rPr>
        <w:t>docs/data_assets.md</w:t>
      </w:r>
      <w:r>
        <w:t>; source hashes are in the cohort manifest.</w:t>
      </w:r>
    </w:p>
    <w:p>
      <w:pPr>
        <w:pStyle w:val="Heading1"/>
        <w:pageBreakBefore w:val="0"/>
      </w:pPr>
      <w:r>
        <w:t>2. Experiment Tracking &amp; Tuning</w:t>
      </w:r>
    </w:p>
    <w:tbl>
      <w:tblPr>
        <w:tblStyle w:val="LightShading-Accent1"/>
        <w:tblW w:type="auto" w:w="0"/>
        <w:tblLook w:firstColumn="1" w:firstRow="1" w:lastColumn="0" w:lastRow="0" w:noHBand="0" w:noVBand="1" w:val="04A0"/>
      </w:tblPr>
      <w:tblGrid>
        <w:gridCol w:w="5018"/>
        <w:gridCol w:w="5018"/>
      </w:tblGrid>
      <w:tr>
        <w:trPr>
          <w:tblHeader/>
          <w:cantSplit/>
        </w:trPr>
        <w:tc>
          <w:tcPr>
            <w:tcW w:type="dxa" w:w="5018"/>
          </w:tcPr>
          <w:p>
            <w:pPr>
              <w:spacing w:after="100"/>
            </w:pPr>
            <w:r>
              <w:rPr>
                <w:b/>
                <w:sz w:val="20"/>
              </w:rPr>
              <w:t>Training component</w:t>
            </w:r>
          </w:p>
        </w:tc>
        <w:tc>
          <w:tcPr>
            <w:tcW w:type="dxa" w:w="5018"/>
          </w:tcPr>
          <w:p>
            <w:pPr>
              <w:spacing w:after="100"/>
            </w:pPr>
            <w:r>
              <w:rPr>
                <w:b/>
                <w:sz w:val="20"/>
              </w:rPr>
              <w:t>Recorded configuration</w:t>
            </w:r>
          </w:p>
        </w:tc>
      </w:tr>
      <w:tr>
        <w:trPr>
          <w:cantSplit/>
        </w:trPr>
        <w:tc>
          <w:tcPr>
            <w:tcW w:type="dxa" w:w="5018"/>
          </w:tcPr>
          <w:p>
            <w:pPr>
              <w:spacing w:after="100"/>
            </w:pPr>
            <w:r>
              <w:rPr>
                <w:sz w:val="20"/>
              </w:rPr>
              <w:t>Image training</w:t>
            </w:r>
          </w:p>
        </w:tc>
        <w:tc>
          <w:tcPr>
            <w:tcW w:type="dxa" w:w="5018"/>
          </w:tcPr>
          <w:p>
            <w:pPr>
              <w:spacing w:after="100"/>
            </w:pPr>
            <w:r>
              <w:rPr>
                <w:sz w:val="20"/>
              </w:rPr>
              <w:t>3 head + up to 15 fine-tuning epochs; batch size 8</w:t>
            </w:r>
          </w:p>
        </w:tc>
      </w:tr>
      <w:tr>
        <w:trPr>
          <w:cantSplit/>
        </w:trPr>
        <w:tc>
          <w:tcPr>
            <w:tcW w:type="dxa" w:w="5018"/>
          </w:tcPr>
          <w:p>
            <w:pPr>
              <w:spacing w:after="100"/>
            </w:pPr>
            <w:r>
              <w:rPr>
                <w:sz w:val="20"/>
              </w:rPr>
              <w:t>Optimization</w:t>
            </w:r>
          </w:p>
        </w:tc>
        <w:tc>
          <w:tcPr>
            <w:tcW w:type="dxa" w:w="5018"/>
          </w:tcPr>
          <w:p>
            <w:pPr>
              <w:spacing w:after="100"/>
            </w:pPr>
            <w:r>
              <w:rPr>
                <w:sz w:val="20"/>
              </w:rPr>
              <w:t>AdamW; ReduceLROnPlateau; class-weighted cross-entropy</w:t>
            </w:r>
          </w:p>
        </w:tc>
      </w:tr>
      <w:tr>
        <w:trPr>
          <w:cantSplit/>
        </w:trPr>
        <w:tc>
          <w:tcPr>
            <w:tcW w:type="dxa" w:w="5018"/>
          </w:tcPr>
          <w:p>
            <w:pPr>
              <w:spacing w:after="100"/>
            </w:pPr>
            <w:r>
              <w:rPr>
                <w:sz w:val="20"/>
              </w:rPr>
              <w:t>Early stopping</w:t>
            </w:r>
          </w:p>
        </w:tc>
        <w:tc>
          <w:tcPr>
            <w:tcW w:type="dxa" w:w="5018"/>
          </w:tcPr>
          <w:p>
            <w:pPr>
              <w:spacing w:after="100"/>
            </w:pPr>
            <w:r>
              <w:rPr>
                <w:sz w:val="20"/>
              </w:rPr>
              <w:t>Patience 2 on validation loss; frozen BatchNorm statistics</w:t>
            </w:r>
          </w:p>
        </w:tc>
      </w:tr>
      <w:tr>
        <w:trPr>
          <w:cantSplit/>
        </w:trPr>
        <w:tc>
          <w:tcPr>
            <w:tcW w:type="dxa" w:w="5018"/>
          </w:tcPr>
          <w:p>
            <w:pPr>
              <w:spacing w:after="100"/>
            </w:pPr>
            <w:r>
              <w:rPr>
                <w:sz w:val="20"/>
              </w:rPr>
              <w:t>Retained checkpoints</w:t>
            </w:r>
          </w:p>
        </w:tc>
        <w:tc>
          <w:tcPr>
            <w:tcW w:type="dxa" w:w="5018"/>
          </w:tcPr>
          <w:p>
            <w:pPr>
              <w:spacing w:after="100"/>
            </w:pPr>
            <w:r>
              <w:rPr>
                <w:sz w:val="20"/>
              </w:rPr>
              <w:t>ResNet50 epoch 7; DenseNet121 epoch 10</w:t>
            </w:r>
          </w:p>
        </w:tc>
      </w:tr>
      <w:tr>
        <w:trPr>
          <w:cantSplit/>
        </w:trPr>
        <w:tc>
          <w:tcPr>
            <w:tcW w:type="dxa" w:w="5018"/>
          </w:tcPr>
          <w:p>
            <w:pPr>
              <w:spacing w:after="100"/>
            </w:pPr>
            <w:r>
              <w:rPr>
                <w:sz w:val="20"/>
              </w:rPr>
              <w:t>Completed image epochs</w:t>
            </w:r>
          </w:p>
        </w:tc>
        <w:tc>
          <w:tcPr>
            <w:tcW w:type="dxa" w:w="5018"/>
          </w:tcPr>
          <w:p>
            <w:pPr>
              <w:spacing w:after="100"/>
            </w:pPr>
            <w:r>
              <w:rPr>
                <w:sz w:val="20"/>
              </w:rPr>
              <w:t>ResNet50 10; DenseNet121 12</w:t>
            </w:r>
          </w:p>
        </w:tc>
      </w:tr>
      <w:tr>
        <w:trPr>
          <w:cantSplit/>
        </w:trPr>
        <w:tc>
          <w:tcPr>
            <w:tcW w:type="dxa" w:w="5018"/>
          </w:tcPr>
          <w:p>
            <w:pPr>
              <w:spacing w:after="100"/>
            </w:pPr>
            <w:r>
              <w:rPr>
                <w:sz w:val="20"/>
              </w:rPr>
              <w:t>Text search</w:t>
            </w:r>
          </w:p>
        </w:tc>
        <w:tc>
          <w:tcPr>
            <w:tcW w:type="dxa" w:w="5018"/>
          </w:tcPr>
          <w:p>
            <w:pPr>
              <w:spacing w:after="100"/>
            </w:pPr>
            <w:r>
              <w:rPr>
                <w:sz w:val="20"/>
              </w:rPr>
              <w:t>6 C values × 2 class-weight settings = 12 validation comparisons</w:t>
            </w:r>
          </w:p>
        </w:tc>
      </w:tr>
      <w:tr>
        <w:trPr>
          <w:cantSplit/>
        </w:trPr>
        <w:tc>
          <w:tcPr>
            <w:tcW w:type="dxa" w:w="5018"/>
          </w:tcPr>
          <w:p>
            <w:pPr>
              <w:spacing w:after="100"/>
            </w:pPr>
            <w:r>
              <w:rPr>
                <w:sz w:val="20"/>
              </w:rPr>
              <w:t>Fusion search</w:t>
            </w:r>
          </w:p>
        </w:tc>
        <w:tc>
          <w:tcPr>
            <w:tcW w:type="dxa" w:w="5018"/>
          </w:tcPr>
          <w:p>
            <w:pPr>
              <w:spacing w:after="100"/>
            </w:pPr>
            <w:r>
              <w:rPr>
                <w:sz w:val="20"/>
              </w:rPr>
              <w:t>21 image weights; validation ROC-AUC objective</w:t>
            </w:r>
          </w:p>
        </w:tc>
      </w:tr>
      <w:tr>
        <w:trPr>
          <w:cantSplit/>
        </w:trPr>
        <w:tc>
          <w:tcPr>
            <w:tcW w:type="dxa" w:w="5018"/>
          </w:tcPr>
          <w:p>
            <w:pPr>
              <w:spacing w:after="100"/>
            </w:pPr>
            <w:r>
              <w:rPr>
                <w:sz w:val="20"/>
              </w:rPr>
              <w:t>Threshold search</w:t>
            </w:r>
          </w:p>
        </w:tc>
        <w:tc>
          <w:tcPr>
            <w:tcW w:type="dxa" w:w="5018"/>
          </w:tcPr>
          <w:p>
            <w:pPr>
              <w:spacing w:after="100"/>
            </w:pPr>
            <w:r>
              <w:rPr>
                <w:sz w:val="20"/>
              </w:rPr>
              <w:t>Validation balanced accuracy; test not used for selection</w:t>
            </w:r>
          </w:p>
        </w:tc>
      </w:tr>
      <w:tr>
        <w:trPr>
          <w:cantSplit/>
        </w:trPr>
        <w:tc>
          <w:tcPr>
            <w:tcW w:type="dxa" w:w="5018"/>
          </w:tcPr>
          <w:p>
            <w:pPr>
              <w:spacing w:after="100"/>
            </w:pPr>
            <w:r>
              <w:rPr>
                <w:sz w:val="20"/>
              </w:rPr>
              <w:t>Tracking</w:t>
            </w:r>
          </w:p>
        </w:tc>
        <w:tc>
          <w:tcPr>
            <w:tcW w:type="dxa" w:w="5018"/>
          </w:tcPr>
          <w:p>
            <w:pPr>
              <w:spacing w:after="100"/>
            </w:pPr>
            <w:r>
              <w:rPr>
                <w:sz w:val="20"/>
              </w:rPr>
              <w:t xml:space="preserve">Separate </w:t>
            </w:r>
            <w:r>
              <w:rPr>
                <w:rFonts w:ascii="Consolas" w:hAnsi="Consolas"/>
                <w:sz w:val="20"/>
              </w:rPr>
              <w:t>artifacts/team_classification/mlflow.db</w:t>
            </w:r>
          </w:p>
        </w:tc>
      </w:tr>
    </w:tbl>
    <w:p/>
    <w:p>
      <w:r>
        <w:t xml:space="preserve">TF-IDF word/character vocabularies and metadata scaling are fitted on training data only. Indication/comparison are cleaned and label terms masked. Final selection is frozen in </w:t>
      </w:r>
      <w:r>
        <w:rPr>
          <w:rFonts w:ascii="Consolas" w:hAnsi="Consolas"/>
          <w:sz w:val="18"/>
        </w:rPr>
        <w:t>selection.json</w:t>
      </w:r>
      <w:r>
        <w:t xml:space="preserve"> before the test evaluation lock is written. Image training and final evaluations are tracked with manifests, hashes, metrics and plots. The test results were not used to select the deployed weight or cutoff.</w:t>
      </w:r>
    </w:p>
    <w:p>
      <w:pPr>
        <w:keepNext/>
        <w:jc w:val="center"/>
      </w:pPr>
      <w:r>
        <w:drawing>
          <wp:inline xmlns:a="http://schemas.openxmlformats.org/drawingml/2006/main" xmlns:pic="http://schemas.openxmlformats.org/drawingml/2006/picture">
            <wp:extent cx="6035040" cy="3448594"/>
            <wp:docPr id="2" name="Picture 2"/>
            <wp:cNvGraphicFramePr>
              <a:graphicFrameLocks noChangeAspect="1"/>
            </wp:cNvGraphicFramePr>
            <a:graphic>
              <a:graphicData uri="http://schemas.openxmlformats.org/drawingml/2006/picture">
                <pic:pic>
                  <pic:nvPicPr>
                    <pic:cNvPr id="0" name="resnet50_loss.png"/>
                    <pic:cNvPicPr/>
                  </pic:nvPicPr>
                  <pic:blipFill>
                    <a:blip r:embed="rId12"/>
                    <a:stretch>
                      <a:fillRect/>
                    </a:stretch>
                  </pic:blipFill>
                  <pic:spPr>
                    <a:xfrm>
                      <a:off x="0" y="0"/>
                      <a:ext cx="6035040" cy="3448594"/>
                    </a:xfrm>
                    <a:prstGeom prst="rect"/>
                  </pic:spPr>
                </pic:pic>
              </a:graphicData>
            </a:graphic>
          </wp:inline>
        </w:drawing>
      </w:r>
    </w:p>
    <w:p>
      <w:pPr>
        <w:pStyle w:val="Caption"/>
        <w:jc w:val="center"/>
      </w:pPr>
      <w:r>
        <w:t>ResNet50 training and validation loss</w:t>
      </w:r>
    </w:p>
    <w:p>
      <w:pPr>
        <w:keepNext/>
        <w:jc w:val="center"/>
      </w:pPr>
      <w:r>
        <w:drawing>
          <wp:inline xmlns:a="http://schemas.openxmlformats.org/drawingml/2006/main" xmlns:pic="http://schemas.openxmlformats.org/drawingml/2006/picture">
            <wp:extent cx="6035040" cy="3448594"/>
            <wp:docPr id="3" name="Picture 3"/>
            <wp:cNvGraphicFramePr>
              <a:graphicFrameLocks noChangeAspect="1"/>
            </wp:cNvGraphicFramePr>
            <a:graphic>
              <a:graphicData uri="http://schemas.openxmlformats.org/drawingml/2006/picture">
                <pic:pic>
                  <pic:nvPicPr>
                    <pic:cNvPr id="0" name="densenet121_loss.png"/>
                    <pic:cNvPicPr/>
                  </pic:nvPicPr>
                  <pic:blipFill>
                    <a:blip r:embed="rId13"/>
                    <a:stretch>
                      <a:fillRect/>
                    </a:stretch>
                  </pic:blipFill>
                  <pic:spPr>
                    <a:xfrm>
                      <a:off x="0" y="0"/>
                      <a:ext cx="6035040" cy="3448594"/>
                    </a:xfrm>
                    <a:prstGeom prst="rect"/>
                  </pic:spPr>
                </pic:pic>
              </a:graphicData>
            </a:graphic>
          </wp:inline>
        </w:drawing>
      </w:r>
    </w:p>
    <w:p>
      <w:pPr>
        <w:pStyle w:val="Caption"/>
        <w:jc w:val="center"/>
      </w:pPr>
      <w:r>
        <w:t>DenseNet121 training and validation loss</w:t>
      </w:r>
    </w:p>
    <w:p>
      <w:r>
        <w:t>The GTX 1660 SUPER run uses AMP with a tested legacy-cuDNN benchmark configuration. Deterministic cuDNN FP16 returned NaNs; invalid forward passes were recomputed in FP32. Backend correction and a disk-exhaustion interruption required checkpoint restarts and optimizer reinitialization. Interrupted MLflow runs retain their failure/cancellation statuses. Seeds are recorded, but bitwise reproducibility is not promised with benchmark-selected GPU algorithms. This is a local reproduction of the team's approach, not their unavailable classification weights.</w:t>
      </w:r>
    </w:p>
    <w:p>
      <w:r>
        <w:t>Historical v1 Optuna tuning completed 20 trials and is retained as development evidence. It belongs to a different cohort/text pipeline and is not claimed as new tuning for this model. Its linear/tree/CNN comparisons remain historical.</w:t>
      </w:r>
    </w:p>
    <w:p>
      <w:pPr>
        <w:pStyle w:val="Heading2"/>
        <w:pageBreakBefore w:val="0"/>
      </w:pPr>
      <w:r>
        <w:t>MLflow experiment tracking and Optuna optimization history</w:t>
      </w:r>
    </w:p>
    <w:p>
      <w:r>
        <w:t xml:space="preserve">The current database contains </w:t>
      </w:r>
      <w:r>
        <w:rPr>
          <w:b/>
        </w:rPr>
        <w:t>10 runs</w:t>
      </w:r>
      <w:r>
        <w:t xml:space="preserve"> in </w:t>
      </w:r>
      <w:r>
        <w:rPr>
          <w:rFonts w:ascii="Consolas" w:hAnsi="Consolas"/>
          <w:sz w:val="18"/>
        </w:rPr>
        <w:t>team29-classification-reproduction</w:t>
      </w:r>
      <w:r>
        <w:t>: 7 FINISHED, 2 KILLED and 1 FAILED. Five finished runs log frozen test evaluations; the other two finished runs are CNN training. Interrupted attempts remain visible rather than being discarded. MLflow records parameters, epoch training/validation losses, final test metrics, selection manifests, checkpoint hashes and saved plots. Training runs record the seed and source digest; final evaluation runs link the cohort/selection manifests.</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cantSplit/>
        </w:trPr>
        <w:tc>
          <w:tcPr>
            <w:tcW w:type="dxa" w:w="2007"/>
          </w:tcPr>
          <w:p>
            <w:pPr>
              <w:spacing w:after="100"/>
            </w:pPr>
            <w:r>
              <w:rPr>
                <w:b/>
                <w:sz w:val="20"/>
              </w:rPr>
              <w:t>Model family / representative</w:t>
            </w:r>
          </w:p>
        </w:tc>
        <w:tc>
          <w:tcPr>
            <w:tcW w:type="dxa" w:w="2007"/>
          </w:tcPr>
          <w:p>
            <w:pPr>
              <w:spacing w:after="100"/>
            </w:pPr>
            <w:r>
              <w:rPr>
                <w:b/>
                <w:sz w:val="20"/>
              </w:rPr>
              <w:t>MLflow run prefix</w:t>
            </w:r>
          </w:p>
        </w:tc>
        <w:tc>
          <w:tcPr>
            <w:tcW w:type="dxa" w:w="2007"/>
          </w:tcPr>
          <w:p>
            <w:pPr>
              <w:spacing w:after="100"/>
            </w:pPr>
            <w:r>
              <w:rPr>
                <w:b/>
                <w:sz w:val="20"/>
              </w:rPr>
              <w:t>Test accuracy</w:t>
            </w:r>
          </w:p>
        </w:tc>
        <w:tc>
          <w:tcPr>
            <w:tcW w:type="dxa" w:w="2007"/>
          </w:tcPr>
          <w:p>
            <w:pPr>
              <w:spacing w:after="100"/>
            </w:pPr>
            <w:r>
              <w:rPr>
                <w:b/>
                <w:sz w:val="20"/>
              </w:rPr>
              <w:t>Test F1</w:t>
            </w:r>
          </w:p>
        </w:tc>
        <w:tc>
          <w:tcPr>
            <w:tcW w:type="dxa" w:w="2007"/>
          </w:tcPr>
          <w:p>
            <w:pPr>
              <w:spacing w:after="100"/>
            </w:pPr>
            <w:r>
              <w:rPr>
                <w:b/>
                <w:sz w:val="20"/>
              </w:rPr>
              <w:t>Test ROC-AUC</w:t>
            </w:r>
          </w:p>
        </w:tc>
      </w:tr>
      <w:tr>
        <w:trPr>
          <w:cantSplit/>
        </w:trPr>
        <w:tc>
          <w:tcPr>
            <w:tcW w:type="dxa" w:w="2007"/>
          </w:tcPr>
          <w:p>
            <w:pPr>
              <w:spacing w:after="100"/>
            </w:pPr>
            <w:r>
              <w:rPr>
                <w:sz w:val="20"/>
              </w:rPr>
              <w:t>Text-only</w:t>
            </w:r>
          </w:p>
        </w:tc>
        <w:tc>
          <w:tcPr>
            <w:tcW w:type="dxa" w:w="2007"/>
          </w:tcPr>
          <w:p>
            <w:pPr>
              <w:spacing w:after="100"/>
            </w:pPr>
            <w:r>
              <w:rPr>
                <w:rFonts w:ascii="Consolas" w:hAnsi="Consolas"/>
                <w:sz w:val="20"/>
              </w:rPr>
              <w:t>e23dfcb3</w:t>
            </w:r>
          </w:p>
        </w:tc>
        <w:tc>
          <w:tcPr>
            <w:tcW w:type="dxa" w:w="2007"/>
          </w:tcPr>
          <w:p>
            <w:pPr>
              <w:spacing w:after="100"/>
            </w:pPr>
            <w:r>
              <w:rPr>
                <w:sz w:val="20"/>
              </w:rPr>
              <w:t>66.29%</w:t>
            </w:r>
          </w:p>
        </w:tc>
        <w:tc>
          <w:tcPr>
            <w:tcW w:type="dxa" w:w="2007"/>
          </w:tcPr>
          <w:p>
            <w:pPr>
              <w:spacing w:after="100"/>
            </w:pPr>
            <w:r>
              <w:rPr>
                <w:sz w:val="20"/>
              </w:rPr>
              <w:t>0.5652</w:t>
            </w:r>
          </w:p>
        </w:tc>
        <w:tc>
          <w:tcPr>
            <w:tcW w:type="dxa" w:w="2007"/>
          </w:tcPr>
          <w:p>
            <w:pPr>
              <w:spacing w:after="100"/>
            </w:pPr>
            <w:r>
              <w:rPr>
                <w:sz w:val="20"/>
              </w:rPr>
              <w:t>0.7203</w:t>
            </w:r>
          </w:p>
        </w:tc>
      </w:tr>
      <w:tr>
        <w:trPr>
          <w:cantSplit/>
        </w:trPr>
        <w:tc>
          <w:tcPr>
            <w:tcW w:type="dxa" w:w="2007"/>
          </w:tcPr>
          <w:p>
            <w:pPr>
              <w:spacing w:after="100"/>
            </w:pPr>
            <w:r>
              <w:rPr>
                <w:sz w:val="20"/>
              </w:rPr>
              <w:t>ResNet50</w:t>
            </w:r>
          </w:p>
        </w:tc>
        <w:tc>
          <w:tcPr>
            <w:tcW w:type="dxa" w:w="2007"/>
          </w:tcPr>
          <w:p>
            <w:pPr>
              <w:spacing w:after="100"/>
            </w:pPr>
            <w:r>
              <w:rPr>
                <w:rFonts w:ascii="Consolas" w:hAnsi="Consolas"/>
                <w:sz w:val="20"/>
              </w:rPr>
              <w:t>1c3b1b62</w:t>
            </w:r>
          </w:p>
        </w:tc>
        <w:tc>
          <w:tcPr>
            <w:tcW w:type="dxa" w:w="2007"/>
          </w:tcPr>
          <w:p>
            <w:pPr>
              <w:spacing w:after="100"/>
            </w:pPr>
            <w:r>
              <w:rPr>
                <w:sz w:val="20"/>
              </w:rPr>
              <w:t>82.30%</w:t>
            </w:r>
          </w:p>
        </w:tc>
        <w:tc>
          <w:tcPr>
            <w:tcW w:type="dxa" w:w="2007"/>
          </w:tcPr>
          <w:p>
            <w:pPr>
              <w:spacing w:after="100"/>
            </w:pPr>
            <w:r>
              <w:rPr>
                <w:sz w:val="20"/>
              </w:rPr>
              <w:t>0.7961</w:t>
            </w:r>
          </w:p>
        </w:tc>
        <w:tc>
          <w:tcPr>
            <w:tcW w:type="dxa" w:w="2007"/>
          </w:tcPr>
          <w:p>
            <w:pPr>
              <w:spacing w:after="100"/>
            </w:pPr>
            <w:r>
              <w:rPr>
                <w:sz w:val="20"/>
              </w:rPr>
              <w:t>0.8784</w:t>
            </w:r>
          </w:p>
        </w:tc>
      </w:tr>
      <w:tr>
        <w:trPr>
          <w:cantSplit/>
        </w:trPr>
        <w:tc>
          <w:tcPr>
            <w:tcW w:type="dxa" w:w="2007"/>
          </w:tcPr>
          <w:p>
            <w:pPr>
              <w:spacing w:after="100"/>
            </w:pPr>
            <w:r>
              <w:rPr>
                <w:sz w:val="20"/>
              </w:rPr>
              <w:t>Multimodal Fusion</w:t>
            </w:r>
          </w:p>
        </w:tc>
        <w:tc>
          <w:tcPr>
            <w:tcW w:type="dxa" w:w="2007"/>
          </w:tcPr>
          <w:p>
            <w:pPr>
              <w:spacing w:after="100"/>
            </w:pPr>
            <w:r>
              <w:rPr>
                <w:rFonts w:ascii="Consolas" w:hAnsi="Consolas"/>
                <w:sz w:val="20"/>
              </w:rPr>
              <w:t>92fa3596</w:t>
            </w:r>
          </w:p>
        </w:tc>
        <w:tc>
          <w:tcPr>
            <w:tcW w:type="dxa" w:w="2007"/>
          </w:tcPr>
          <w:p>
            <w:pPr>
              <w:spacing w:after="100"/>
            </w:pPr>
            <w:r>
              <w:rPr>
                <w:sz w:val="20"/>
              </w:rPr>
              <w:t>82.87%</w:t>
            </w:r>
          </w:p>
        </w:tc>
        <w:tc>
          <w:tcPr>
            <w:tcW w:type="dxa" w:w="2007"/>
          </w:tcPr>
          <w:p>
            <w:pPr>
              <w:spacing w:after="100"/>
            </w:pPr>
            <w:r>
              <w:rPr>
                <w:sz w:val="20"/>
              </w:rPr>
              <w:t>0.7918</w:t>
            </w:r>
          </w:p>
        </w:tc>
        <w:tc>
          <w:tcPr>
            <w:tcW w:type="dxa" w:w="2007"/>
          </w:tcPr>
          <w:p>
            <w:pPr>
              <w:spacing w:after="100"/>
            </w:pPr>
            <w:r>
              <w:rPr>
                <w:sz w:val="20"/>
              </w:rPr>
              <w:t>0.8816</w:t>
            </w:r>
          </w:p>
        </w:tc>
      </w:tr>
    </w:tbl>
    <w:p/>
    <w:p>
      <w:r>
        <w:t xml:space="preserve">These metrics are read directly from the three frozen-evaluation MLflow runs, covering text-only, image-only and multimodal families on the same 356 test studies. Full run IDs, statuses, parameters and metrics are in </w:t>
      </w:r>
      <w:r>
        <w:rPr>
          <w:rFonts w:ascii="Consolas" w:hAnsi="Consolas"/>
          <w:sz w:val="18"/>
        </w:rPr>
        <w:t>reports/evidence/team29/mlflow_tracking_snapshot.json</w:t>
      </w:r>
      <w:r>
        <w:t>.</w:t>
      </w:r>
    </w:p>
    <w:p>
      <w:pPr>
        <w:keepNext/>
        <w:jc w:val="center"/>
      </w:pPr>
      <w:r>
        <w:drawing>
          <wp:inline xmlns:a="http://schemas.openxmlformats.org/drawingml/2006/main" xmlns:pic="http://schemas.openxmlformats.org/drawingml/2006/picture">
            <wp:extent cx="6035040" cy="3448594"/>
            <wp:docPr id="4" name="Picture 4"/>
            <wp:cNvGraphicFramePr>
              <a:graphicFrameLocks noChangeAspect="1"/>
            </wp:cNvGraphicFramePr>
            <a:graphic>
              <a:graphicData uri="http://schemas.openxmlformats.org/drawingml/2006/picture">
                <pic:pic>
                  <pic:nvPicPr>
                    <pic:cNvPr id="0" name="mlflow_dashboard.png"/>
                    <pic:cNvPicPr/>
                  </pic:nvPicPr>
                  <pic:blipFill>
                    <a:blip r:embed="rId14"/>
                    <a:stretch>
                      <a:fillRect/>
                    </a:stretch>
                  </pic:blipFill>
                  <pic:spPr>
                    <a:xfrm>
                      <a:off x="0" y="0"/>
                      <a:ext cx="6035040" cy="3448594"/>
                    </a:xfrm>
                    <a:prstGeom prst="rect"/>
                  </pic:spPr>
                </pic:pic>
              </a:graphicData>
            </a:graphic>
          </wp:inline>
        </w:drawing>
      </w:r>
    </w:p>
    <w:p>
      <w:pPr>
        <w:pStyle w:val="Caption"/>
        <w:jc w:val="center"/>
      </w:pPr>
      <w:r>
        <w:t>MLflow and Optuna evidence summary — generated from saved records, not a dashboard screenshot</w:t>
      </w:r>
    </w:p>
    <w:p>
      <w:r>
        <w:rPr>
          <w:b/>
        </w:rPr>
        <w:t>Current validation search.</w:t>
      </w:r>
      <w:r>
        <w:t xml:space="preserve"> The text model compares 12 settings (six C values, two class-weight settings). Its selected C is </w:t>
      </w:r>
      <w:r>
        <w:rPr>
          <w:b/>
        </w:rPr>
        <w:t>0.3</w:t>
      </w:r>
      <w:r>
        <w:t xml:space="preserve">, class weighting is </w:t>
      </w:r>
      <w:r>
        <w:rPr>
          <w:b/>
        </w:rPr>
        <w:t>None</w:t>
      </w:r>
      <w:r>
        <w:t xml:space="preserve">, solver is </w:t>
      </w:r>
      <w:r>
        <w:rPr>
          <w:b/>
        </w:rPr>
        <w:t>liblinear</w:t>
      </w:r>
      <w:r>
        <w:t xml:space="preserve">, and validation ROC-AUC is </w:t>
      </w:r>
      <w:r>
        <w:rPr>
          <w:b/>
        </w:rPr>
        <w:t>0.6726</w:t>
      </w:r>
      <w:r>
        <w:t xml:space="preserve">. Fusion compares 21 image weights using validation ROC-AUC and selects </w:t>
      </w:r>
      <w:r>
        <w:rPr>
          <w:b/>
        </w:rPr>
        <w:t>70% image / 30% text</w:t>
      </w:r>
      <w:r>
        <w:t xml:space="preserve">. Balanced-accuracy threshold selection on validation gives </w:t>
      </w:r>
      <w:r>
        <w:rPr>
          <w:b/>
        </w:rPr>
        <w:t>0.49</w:t>
      </w:r>
      <w:r>
        <w:t xml:space="preserve"> for fusion. CNN early stopping uses patience 2; retained checkpoints are ResNet50 epoch 7 and DenseNet121 epoch 10. This current search is not an Optuna study.</w:t>
      </w:r>
    </w:p>
    <w:p>
      <w:r>
        <w:rPr>
          <w:b/>
        </w:rPr>
        <w:t>Historical Optuna study — separate cohort and feature pipeline.</w:t>
      </w:r>
      <w:r>
        <w:t xml:space="preserve"> </w:t>
      </w:r>
      <w:r>
        <w:rPr>
          <w:rFonts w:ascii="Consolas" w:hAnsi="Consolas"/>
          <w:sz w:val="18"/>
        </w:rPr>
        <w:t>tracking_snapshot.json</w:t>
      </w:r>
      <w:r>
        <w:t xml:space="preserve"> records </w:t>
      </w:r>
      <w:r>
        <w:rPr>
          <w:b/>
        </w:rPr>
        <w:t>37 historical MLflow runs</w:t>
      </w:r>
      <w:r>
        <w:t xml:space="preserve">. </w:t>
      </w:r>
      <w:r>
        <w:rPr>
          <w:rFonts w:ascii="Consolas" w:hAnsi="Consolas"/>
          <w:sz w:val="18"/>
        </w:rPr>
        <w:t>optuna_trials.csv</w:t>
      </w:r>
      <w:r>
        <w:t xml:space="preserve"> records </w:t>
      </w:r>
      <w:r>
        <w:rPr>
          <w:b/>
        </w:rPr>
        <w:t>20 completed trials</w:t>
      </w:r>
      <w:r>
        <w:t xml:space="preserve">, numbered 0–19, using seeded TPE to maximize mean grouped training-fold ROC-AUC. TF-IDF is refitted within each fold. Search bounds are C in [0.001, 100] (log scale) and max_features in {500, 1000, 2000}. The best trial is </w:t>
      </w:r>
      <w:r>
        <w:rPr>
          <w:b/>
        </w:rPr>
        <w:t>7</w:t>
      </w:r>
      <w:r>
        <w:t xml:space="preserve">, with mean CV ROC-AUC </w:t>
      </w:r>
      <w:r>
        <w:rPr>
          <w:b/>
        </w:rPr>
        <w:t>0.6406</w:t>
      </w:r>
      <w:r>
        <w:t xml:space="preserve">, C = </w:t>
      </w:r>
      <w:r>
        <w:rPr>
          <w:b/>
        </w:rPr>
        <w:t>0.9163741809</w:t>
      </w:r>
      <w:r>
        <w:t xml:space="preserve"> and max_features = </w:t>
      </w:r>
      <w:r>
        <w:rPr>
          <w:b/>
        </w:rPr>
        <w:t>1000</w:t>
      </w:r>
      <w:r>
        <w:t>. The classifier uses balanced class weights. These are historical development results, not the deployed text model's settings or new test-set tuning.</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tcPr>
          <w:p>
            <w:pPr>
              <w:spacing w:after="100"/>
            </w:pPr>
            <w:r>
              <w:rPr>
                <w:b/>
                <w:sz w:val="20"/>
              </w:rPr>
              <w:t>Historical trial (zero-based)</w:t>
            </w:r>
          </w:p>
        </w:tc>
        <w:tc>
          <w:tcPr>
            <w:tcW w:type="dxa" w:w="3346"/>
          </w:tcPr>
          <w:p>
            <w:pPr>
              <w:spacing w:after="100"/>
            </w:pPr>
            <w:r>
              <w:rPr>
                <w:b/>
                <w:sz w:val="20"/>
              </w:rPr>
              <w:t>Trial mean CV ROC-AUC</w:t>
            </w:r>
          </w:p>
        </w:tc>
        <w:tc>
          <w:tcPr>
            <w:tcW w:type="dxa" w:w="3346"/>
          </w:tcPr>
          <w:p>
            <w:pPr>
              <w:spacing w:after="100"/>
            </w:pPr>
            <w:r>
              <w:rPr>
                <w:b/>
                <w:sz w:val="20"/>
              </w:rPr>
              <w:t>Best observed through this trial</w:t>
            </w:r>
          </w:p>
        </w:tc>
      </w:tr>
      <w:tr>
        <w:trPr>
          <w:cantSplit/>
        </w:trPr>
        <w:tc>
          <w:tcPr>
            <w:tcW w:type="dxa" w:w="3346"/>
          </w:tcPr>
          <w:p>
            <w:pPr>
              <w:spacing w:after="100"/>
            </w:pPr>
            <w:r>
              <w:rPr>
                <w:sz w:val="20"/>
              </w:rPr>
              <w:t>0</w:t>
            </w:r>
          </w:p>
        </w:tc>
        <w:tc>
          <w:tcPr>
            <w:tcW w:type="dxa" w:w="3346"/>
          </w:tcPr>
          <w:p>
            <w:pPr>
              <w:spacing w:after="100"/>
            </w:pPr>
            <w:r>
              <w:rPr>
                <w:sz w:val="20"/>
              </w:rPr>
              <w:t>0.6307</w:t>
            </w:r>
          </w:p>
        </w:tc>
        <w:tc>
          <w:tcPr>
            <w:tcW w:type="dxa" w:w="3346"/>
          </w:tcPr>
          <w:p>
            <w:pPr>
              <w:spacing w:after="100"/>
            </w:pPr>
            <w:r>
              <w:rPr>
                <w:sz w:val="20"/>
              </w:rPr>
              <w:t>0.6307</w:t>
            </w:r>
          </w:p>
        </w:tc>
      </w:tr>
      <w:tr>
        <w:trPr>
          <w:cantSplit/>
        </w:trPr>
        <w:tc>
          <w:tcPr>
            <w:tcW w:type="dxa" w:w="3346"/>
          </w:tcPr>
          <w:p>
            <w:pPr>
              <w:spacing w:after="100"/>
            </w:pPr>
            <w:r>
              <w:rPr>
                <w:sz w:val="20"/>
              </w:rPr>
              <w:t>4</w:t>
            </w:r>
          </w:p>
        </w:tc>
        <w:tc>
          <w:tcPr>
            <w:tcW w:type="dxa" w:w="3346"/>
          </w:tcPr>
          <w:p>
            <w:pPr>
              <w:spacing w:after="100"/>
            </w:pPr>
            <w:r>
              <w:rPr>
                <w:sz w:val="20"/>
              </w:rPr>
              <w:t>0.6270</w:t>
            </w:r>
          </w:p>
        </w:tc>
        <w:tc>
          <w:tcPr>
            <w:tcW w:type="dxa" w:w="3346"/>
          </w:tcPr>
          <w:p>
            <w:pPr>
              <w:spacing w:after="100"/>
            </w:pPr>
            <w:r>
              <w:rPr>
                <w:sz w:val="20"/>
              </w:rPr>
              <w:t>0.6378</w:t>
            </w:r>
          </w:p>
        </w:tc>
      </w:tr>
      <w:tr>
        <w:trPr>
          <w:cantSplit/>
        </w:trPr>
        <w:tc>
          <w:tcPr>
            <w:tcW w:type="dxa" w:w="3346"/>
          </w:tcPr>
          <w:p>
            <w:pPr>
              <w:spacing w:after="100"/>
            </w:pPr>
            <w:r>
              <w:rPr>
                <w:sz w:val="20"/>
              </w:rPr>
              <w:t>9</w:t>
            </w:r>
          </w:p>
        </w:tc>
        <w:tc>
          <w:tcPr>
            <w:tcW w:type="dxa" w:w="3346"/>
          </w:tcPr>
          <w:p>
            <w:pPr>
              <w:spacing w:after="100"/>
            </w:pPr>
            <w:r>
              <w:rPr>
                <w:sz w:val="20"/>
              </w:rPr>
              <w:t>0.6286</w:t>
            </w:r>
          </w:p>
        </w:tc>
        <w:tc>
          <w:tcPr>
            <w:tcW w:type="dxa" w:w="3346"/>
          </w:tcPr>
          <w:p>
            <w:pPr>
              <w:spacing w:after="100"/>
            </w:pPr>
            <w:r>
              <w:rPr>
                <w:sz w:val="20"/>
              </w:rPr>
              <w:t>0.6406</w:t>
            </w:r>
          </w:p>
        </w:tc>
      </w:tr>
      <w:tr>
        <w:trPr>
          <w:cantSplit/>
        </w:trPr>
        <w:tc>
          <w:tcPr>
            <w:tcW w:type="dxa" w:w="3346"/>
          </w:tcPr>
          <w:p>
            <w:pPr>
              <w:spacing w:after="100"/>
            </w:pPr>
            <w:r>
              <w:rPr>
                <w:sz w:val="20"/>
              </w:rPr>
              <w:t>19</w:t>
            </w:r>
          </w:p>
        </w:tc>
        <w:tc>
          <w:tcPr>
            <w:tcW w:type="dxa" w:w="3346"/>
          </w:tcPr>
          <w:p>
            <w:pPr>
              <w:spacing w:after="100"/>
            </w:pPr>
            <w:r>
              <w:rPr>
                <w:sz w:val="20"/>
              </w:rPr>
              <w:t>0.6354</w:t>
            </w:r>
          </w:p>
        </w:tc>
        <w:tc>
          <w:tcPr>
            <w:tcW w:type="dxa" w:w="3346"/>
          </w:tcPr>
          <w:p>
            <w:pPr>
              <w:spacing w:after="100"/>
            </w:pPr>
            <w:r>
              <w:rPr>
                <w:sz w:val="20"/>
              </w:rPr>
              <w:t>0.6406</w:t>
            </w:r>
          </w:p>
        </w:tc>
      </w:tr>
    </w:tbl>
    <w:p/>
    <w:p>
      <w:r>
        <w:t>The chart includes every trial and its cumulative best; the full CSV preserves parameters, states, timestamps and duration. Current threshold and fusion choices were frozen on validation before final test evaluation. No test metric is used as a tuning objective.</w:t>
      </w:r>
    </w:p>
    <w:p>
      <w:r>
        <w:rPr>
          <w:b/>
        </w:rPr>
        <w:t>Inspect the local MLflow dashboard.</w:t>
      </w:r>
      <w:r>
        <w:t xml:space="preserve"> Run from the project root:</w:t>
      </w:r>
    </w:p>
    <w:p>
      <w:pPr>
        <w:spacing w:after="20"/>
      </w:pPr>
      <w:r>
        <w:rPr>
          <w:rFonts w:ascii="Consolas" w:hAnsi="Consolas"/>
          <w:sz w:val="16"/>
        </w:rPr>
        <w:t>.\.venv\Scripts\python.exe -m mlflow ui --backend-store-uri sqlite:///artifacts/team_classification/mlflow.db --host 127.0.0.1 --port 5000</w:t>
      </w:r>
    </w:p>
    <w:p>
      <w:r>
        <w:t xml:space="preserve">Open </w:t>
      </w:r>
      <w:r>
        <w:rPr>
          <w:rFonts w:ascii="Consolas" w:hAnsi="Consolas"/>
          <w:sz w:val="18"/>
        </w:rPr>
        <w:t>http://127.0.0.1:5000</w:t>
      </w:r>
      <w:r>
        <w:t xml:space="preserve"> and select </w:t>
      </w:r>
      <w:r>
        <w:rPr>
          <w:rFonts w:ascii="Consolas" w:hAnsi="Consolas"/>
          <w:sz w:val="18"/>
        </w:rPr>
        <w:t>team29-classification-reproduction</w:t>
      </w:r>
      <w:r>
        <w:t xml:space="preserve">. Compare the five </w:t>
      </w:r>
      <w:r>
        <w:rPr>
          <w:rFonts w:ascii="Consolas" w:hAnsi="Consolas"/>
          <w:sz w:val="18"/>
        </w:rPr>
        <w:t>*-frozen-evaluation</w:t>
      </w:r>
      <w:r>
        <w:t xml:space="preserve"> runs using </w:t>
      </w:r>
      <w:r>
        <w:rPr>
          <w:rFonts w:ascii="Consolas" w:hAnsi="Consolas"/>
          <w:sz w:val="18"/>
        </w:rPr>
        <w:t>test_accuracy</w:t>
      </w:r>
      <w:r>
        <w:t xml:space="preserve">, </w:t>
      </w:r>
      <w:r>
        <w:rPr>
          <w:rFonts w:ascii="Consolas" w:hAnsi="Consolas"/>
          <w:sz w:val="18"/>
        </w:rPr>
        <w:t>test_f1</w:t>
      </w:r>
      <w:r>
        <w:t xml:space="preserve"> and </w:t>
      </w:r>
      <w:r>
        <w:rPr>
          <w:rFonts w:ascii="Consolas" w:hAnsi="Consolas"/>
          <w:sz w:val="18"/>
        </w:rPr>
        <w:t>test_roc_auc</w:t>
      </w:r>
      <w:r>
        <w:t xml:space="preserve">; inspect CNN runs for loss histories. The historical database can be viewed separately with </w:t>
      </w:r>
      <w:r>
        <w:rPr>
          <w:rFonts w:ascii="Consolas" w:hAnsi="Consolas"/>
          <w:sz w:val="18"/>
        </w:rPr>
        <w:t>--backend-store-uri sqlite:///artifacts/mlflow.db</w:t>
      </w:r>
      <w:r>
        <w:t xml:space="preserve"> on port 5001. Databases/artifact directories are excluded from Git; restore the separate tracking archive before opening the current dashboard on a fresh checkout. The summary chart remains viewable without either database.</w:t>
      </w:r>
    </w:p>
    <w:p>
      <w:pPr>
        <w:pStyle w:val="Heading1"/>
        <w:pageBreakBefore w:val="0"/>
      </w:pPr>
      <w:r>
        <w:t>3. Held-out Model Comparisons</w:t>
      </w:r>
    </w:p>
    <w:p>
      <w:r>
        <w:t>All rows below use the same current test cohort, 356 studies / 681 source images. Accuracy and F1 use each model's own validation-selected threshold. F1 is for the Abnormal weak-label class.</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cantSplit/>
        </w:trPr>
        <w:tc>
          <w:tcPr>
            <w:tcW w:type="dxa" w:w="2007"/>
          </w:tcPr>
          <w:p>
            <w:pPr>
              <w:spacing w:after="100"/>
            </w:pPr>
            <w:r>
              <w:rPr>
                <w:b/>
                <w:sz w:val="20"/>
              </w:rPr>
              <w:t>Model</w:t>
            </w:r>
          </w:p>
        </w:tc>
        <w:tc>
          <w:tcPr>
            <w:tcW w:type="dxa" w:w="2007"/>
          </w:tcPr>
          <w:p>
            <w:pPr>
              <w:spacing w:after="100"/>
            </w:pPr>
            <w:r>
              <w:rPr>
                <w:b/>
                <w:sz w:val="20"/>
              </w:rPr>
              <w:t>Accuracy</w:t>
            </w:r>
          </w:p>
        </w:tc>
        <w:tc>
          <w:tcPr>
            <w:tcW w:type="dxa" w:w="2007"/>
          </w:tcPr>
          <w:p>
            <w:pPr>
              <w:spacing w:after="100"/>
            </w:pPr>
            <w:r>
              <w:rPr>
                <w:b/>
                <w:sz w:val="20"/>
              </w:rPr>
              <w:t>F1</w:t>
            </w:r>
          </w:p>
        </w:tc>
        <w:tc>
          <w:tcPr>
            <w:tcW w:type="dxa" w:w="2007"/>
          </w:tcPr>
          <w:p>
            <w:pPr>
              <w:spacing w:after="100"/>
            </w:pPr>
            <w:r>
              <w:rPr>
                <w:b/>
                <w:sz w:val="20"/>
              </w:rPr>
              <w:t>ROC-AUC</w:t>
            </w:r>
          </w:p>
        </w:tc>
        <w:tc>
          <w:tcPr>
            <w:tcW w:type="dxa" w:w="2007"/>
          </w:tcPr>
          <w:p>
            <w:pPr>
              <w:spacing w:after="100"/>
            </w:pPr>
            <w:r>
              <w:rPr>
                <w:b/>
                <w:sz w:val="20"/>
              </w:rPr>
              <w:t>Threshold</w:t>
            </w:r>
          </w:p>
        </w:tc>
      </w:tr>
      <w:tr>
        <w:trPr>
          <w:cantSplit/>
        </w:trPr>
        <w:tc>
          <w:tcPr>
            <w:tcW w:type="dxa" w:w="2007"/>
          </w:tcPr>
          <w:p>
            <w:pPr>
              <w:spacing w:after="100"/>
            </w:pPr>
            <w:r>
              <w:rPr>
                <w:sz w:val="20"/>
              </w:rPr>
              <w:t>Text-only — Logistic Regression</w:t>
            </w:r>
          </w:p>
        </w:tc>
        <w:tc>
          <w:tcPr>
            <w:tcW w:type="dxa" w:w="2007"/>
          </w:tcPr>
          <w:p>
            <w:pPr>
              <w:spacing w:after="100"/>
            </w:pPr>
            <w:r>
              <w:rPr>
                <w:sz w:val="20"/>
              </w:rPr>
              <w:t>66.29%</w:t>
            </w:r>
          </w:p>
        </w:tc>
        <w:tc>
          <w:tcPr>
            <w:tcW w:type="dxa" w:w="2007"/>
          </w:tcPr>
          <w:p>
            <w:pPr>
              <w:spacing w:after="100"/>
            </w:pPr>
            <w:r>
              <w:rPr>
                <w:sz w:val="20"/>
              </w:rPr>
              <w:t>0.5652</w:t>
            </w:r>
          </w:p>
        </w:tc>
        <w:tc>
          <w:tcPr>
            <w:tcW w:type="dxa" w:w="2007"/>
          </w:tcPr>
          <w:p>
            <w:pPr>
              <w:spacing w:after="100"/>
            </w:pPr>
            <w:r>
              <w:rPr>
                <w:sz w:val="20"/>
              </w:rPr>
              <w:t>0.7203</w:t>
            </w:r>
          </w:p>
        </w:tc>
        <w:tc>
          <w:tcPr>
            <w:tcW w:type="dxa" w:w="2007"/>
          </w:tcPr>
          <w:p>
            <w:pPr>
              <w:spacing w:after="100"/>
            </w:pPr>
            <w:r>
              <w:rPr>
                <w:sz w:val="20"/>
              </w:rPr>
              <w:t>0.49</w:t>
            </w:r>
          </w:p>
        </w:tc>
      </w:tr>
      <w:tr>
        <w:trPr>
          <w:cantSplit/>
        </w:trPr>
        <w:tc>
          <w:tcPr>
            <w:tcW w:type="dxa" w:w="2007"/>
          </w:tcPr>
          <w:p>
            <w:pPr>
              <w:spacing w:after="100"/>
            </w:pPr>
            <w:r>
              <w:rPr>
                <w:sz w:val="20"/>
              </w:rPr>
              <w:t>ResNet50</w:t>
            </w:r>
          </w:p>
        </w:tc>
        <w:tc>
          <w:tcPr>
            <w:tcW w:type="dxa" w:w="2007"/>
          </w:tcPr>
          <w:p>
            <w:pPr>
              <w:spacing w:after="100"/>
            </w:pPr>
            <w:r>
              <w:rPr>
                <w:sz w:val="20"/>
              </w:rPr>
              <w:t>82.30%</w:t>
            </w:r>
          </w:p>
        </w:tc>
        <w:tc>
          <w:tcPr>
            <w:tcW w:type="dxa" w:w="2007"/>
          </w:tcPr>
          <w:p>
            <w:pPr>
              <w:spacing w:after="100"/>
            </w:pPr>
            <w:r>
              <w:rPr>
                <w:sz w:val="20"/>
              </w:rPr>
              <w:t>0.7961</w:t>
            </w:r>
          </w:p>
        </w:tc>
        <w:tc>
          <w:tcPr>
            <w:tcW w:type="dxa" w:w="2007"/>
          </w:tcPr>
          <w:p>
            <w:pPr>
              <w:spacing w:after="100"/>
            </w:pPr>
            <w:r>
              <w:rPr>
                <w:sz w:val="20"/>
              </w:rPr>
              <w:t>0.8784</w:t>
            </w:r>
          </w:p>
        </w:tc>
        <w:tc>
          <w:tcPr>
            <w:tcW w:type="dxa" w:w="2007"/>
          </w:tcPr>
          <w:p>
            <w:pPr>
              <w:spacing w:after="100"/>
            </w:pPr>
            <w:r>
              <w:rPr>
                <w:sz w:val="20"/>
              </w:rPr>
              <w:t>0.44</w:t>
            </w:r>
          </w:p>
        </w:tc>
      </w:tr>
      <w:tr>
        <w:trPr>
          <w:cantSplit/>
        </w:trPr>
        <w:tc>
          <w:tcPr>
            <w:tcW w:type="dxa" w:w="2007"/>
          </w:tcPr>
          <w:p>
            <w:pPr>
              <w:spacing w:after="100"/>
            </w:pPr>
            <w:r>
              <w:rPr>
                <w:sz w:val="20"/>
              </w:rPr>
              <w:t>DenseNet121</w:t>
            </w:r>
          </w:p>
        </w:tc>
        <w:tc>
          <w:tcPr>
            <w:tcW w:type="dxa" w:w="2007"/>
          </w:tcPr>
          <w:p>
            <w:pPr>
              <w:spacing w:after="100"/>
            </w:pPr>
            <w:r>
              <w:rPr>
                <w:sz w:val="20"/>
              </w:rPr>
              <w:t>79.21%</w:t>
            </w:r>
          </w:p>
        </w:tc>
        <w:tc>
          <w:tcPr>
            <w:tcW w:type="dxa" w:w="2007"/>
          </w:tcPr>
          <w:p>
            <w:pPr>
              <w:spacing w:after="100"/>
            </w:pPr>
            <w:r>
              <w:rPr>
                <w:sz w:val="20"/>
              </w:rPr>
              <w:t>0.7658</w:t>
            </w:r>
          </w:p>
        </w:tc>
        <w:tc>
          <w:tcPr>
            <w:tcW w:type="dxa" w:w="2007"/>
          </w:tcPr>
          <w:p>
            <w:pPr>
              <w:spacing w:after="100"/>
            </w:pPr>
            <w:r>
              <w:rPr>
                <w:sz w:val="20"/>
              </w:rPr>
              <w:t>0.8644</w:t>
            </w:r>
          </w:p>
        </w:tc>
        <w:tc>
          <w:tcPr>
            <w:tcW w:type="dxa" w:w="2007"/>
          </w:tcPr>
          <w:p>
            <w:pPr>
              <w:spacing w:after="100"/>
            </w:pPr>
            <w:r>
              <w:rPr>
                <w:sz w:val="20"/>
              </w:rPr>
              <w:t>0.46</w:t>
            </w:r>
          </w:p>
        </w:tc>
      </w:tr>
      <w:tr>
        <w:trPr>
          <w:cantSplit/>
        </w:trPr>
        <w:tc>
          <w:tcPr>
            <w:tcW w:type="dxa" w:w="2007"/>
          </w:tcPr>
          <w:p>
            <w:pPr>
              <w:spacing w:after="100"/>
            </w:pPr>
            <w:r>
              <w:rPr>
                <w:sz w:val="20"/>
              </w:rPr>
              <w:t>Image ensemble</w:t>
            </w:r>
          </w:p>
        </w:tc>
        <w:tc>
          <w:tcPr>
            <w:tcW w:type="dxa" w:w="2007"/>
          </w:tcPr>
          <w:p>
            <w:pPr>
              <w:spacing w:after="100"/>
            </w:pPr>
            <w:r>
              <w:rPr>
                <w:sz w:val="20"/>
              </w:rPr>
              <w:t>81.74%</w:t>
            </w:r>
          </w:p>
        </w:tc>
        <w:tc>
          <w:tcPr>
            <w:tcW w:type="dxa" w:w="2007"/>
          </w:tcPr>
          <w:p>
            <w:pPr>
              <w:spacing w:after="100"/>
            </w:pPr>
            <w:r>
              <w:rPr>
                <w:sz w:val="20"/>
              </w:rPr>
              <w:t>0.7855</w:t>
            </w:r>
          </w:p>
        </w:tc>
        <w:tc>
          <w:tcPr>
            <w:tcW w:type="dxa" w:w="2007"/>
          </w:tcPr>
          <w:p>
            <w:pPr>
              <w:spacing w:after="100"/>
            </w:pPr>
            <w:r>
              <w:rPr>
                <w:sz w:val="20"/>
              </w:rPr>
              <w:t>0.8757</w:t>
            </w:r>
          </w:p>
        </w:tc>
        <w:tc>
          <w:tcPr>
            <w:tcW w:type="dxa" w:w="2007"/>
          </w:tcPr>
          <w:p>
            <w:pPr>
              <w:spacing w:after="100"/>
            </w:pPr>
            <w:r>
              <w:rPr>
                <w:sz w:val="20"/>
              </w:rPr>
              <w:t>0.48</w:t>
            </w:r>
          </w:p>
        </w:tc>
      </w:tr>
      <w:tr>
        <w:trPr>
          <w:cantSplit/>
        </w:trPr>
        <w:tc>
          <w:tcPr>
            <w:tcW w:type="dxa" w:w="2007"/>
          </w:tcPr>
          <w:p>
            <w:pPr>
              <w:spacing w:after="100"/>
            </w:pPr>
            <w:r>
              <w:rPr>
                <w:sz w:val="20"/>
              </w:rPr>
              <w:t>Multimodal Fusion</w:t>
            </w:r>
          </w:p>
        </w:tc>
        <w:tc>
          <w:tcPr>
            <w:tcW w:type="dxa" w:w="2007"/>
          </w:tcPr>
          <w:p>
            <w:pPr>
              <w:spacing w:after="100"/>
            </w:pPr>
            <w:r>
              <w:rPr>
                <w:sz w:val="20"/>
              </w:rPr>
              <w:t>82.87%</w:t>
            </w:r>
          </w:p>
        </w:tc>
        <w:tc>
          <w:tcPr>
            <w:tcW w:type="dxa" w:w="2007"/>
          </w:tcPr>
          <w:p>
            <w:pPr>
              <w:spacing w:after="100"/>
            </w:pPr>
            <w:r>
              <w:rPr>
                <w:sz w:val="20"/>
              </w:rPr>
              <w:t>0.7918</w:t>
            </w:r>
          </w:p>
        </w:tc>
        <w:tc>
          <w:tcPr>
            <w:tcW w:type="dxa" w:w="2007"/>
          </w:tcPr>
          <w:p>
            <w:pPr>
              <w:spacing w:after="100"/>
            </w:pPr>
            <w:r>
              <w:rPr>
                <w:sz w:val="20"/>
              </w:rPr>
              <w:t>0.8816</w:t>
            </w:r>
          </w:p>
        </w:tc>
        <w:tc>
          <w:tcPr>
            <w:tcW w:type="dxa" w:w="2007"/>
          </w:tcPr>
          <w:p>
            <w:pPr>
              <w:spacing w:after="100"/>
            </w:pPr>
            <w:r>
              <w:rPr>
                <w:sz w:val="20"/>
              </w:rPr>
              <w:t>0.49</w:t>
            </w:r>
          </w:p>
        </w:tc>
      </w:tr>
    </w:tbl>
    <w:p/>
    <w:p>
      <w:pPr>
        <w:keepNext/>
        <w:jc w:val="center"/>
      </w:pPr>
      <w:r>
        <w:drawing>
          <wp:inline xmlns:a="http://schemas.openxmlformats.org/drawingml/2006/main" xmlns:pic="http://schemas.openxmlformats.org/drawingml/2006/picture">
            <wp:extent cx="6035040" cy="2414016"/>
            <wp:docPr id="5" name="Picture 5"/>
            <wp:cNvGraphicFramePr>
              <a:graphicFrameLocks noChangeAspect="1"/>
            </wp:cNvGraphicFramePr>
            <a:graphic>
              <a:graphicData uri="http://schemas.openxmlformats.org/drawingml/2006/picture">
                <pic:pic>
                  <pic:nvPicPr>
                    <pic:cNvPr id="0" name="ablation.png"/>
                    <pic:cNvPicPr/>
                  </pic:nvPicPr>
                  <pic:blipFill>
                    <a:blip r:embed="rId15"/>
                    <a:stretch>
                      <a:fillRect/>
                    </a:stretch>
                  </pic:blipFill>
                  <pic:spPr>
                    <a:xfrm>
                      <a:off x="0" y="0"/>
                      <a:ext cx="6035040" cy="2414016"/>
                    </a:xfrm>
                    <a:prstGeom prst="rect"/>
                  </pic:spPr>
                </pic:pic>
              </a:graphicData>
            </a:graphic>
          </wp:inline>
        </w:drawing>
      </w:r>
    </w:p>
    <w:p>
      <w:pPr>
        <w:pStyle w:val="Caption"/>
        <w:jc w:val="center"/>
      </w:pPr>
      <w:r>
        <w:t>Current held-out ablation comparison</w:t>
      </w:r>
    </w:p>
    <w:p>
      <w:r>
        <w:t xml:space="preserve">The deployed fusion achieves precision </w:t>
      </w:r>
      <w:r>
        <w:rPr>
          <w:b/>
        </w:rPr>
        <w:t>83.45%</w:t>
      </w:r>
      <w:r>
        <w:t xml:space="preserve">, recall </w:t>
      </w:r>
      <w:r>
        <w:rPr>
          <w:b/>
        </w:rPr>
        <w:t>75.32%</w:t>
      </w:r>
      <w:r>
        <w:t xml:space="preserve"> and average precision </w:t>
      </w:r>
      <w:r>
        <w:rPr>
          <w:b/>
        </w:rPr>
        <w:t>0.8516</w:t>
      </w:r>
      <w:r>
        <w:t>. It slightly improves accuracy and ROC-AUC over ResNet50, while ResNet50 has the higher F1. No statistical superiority or clinical effectiveness is established. The old 10:1 cost policy is not used in this model. Its earlier, high-recall v1 scores used a different cohort and are not directly comparable.</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cantSplit/>
        </w:trPr>
        <w:tc>
          <w:tcPr>
            <w:tcW w:type="dxa" w:w="2007"/>
          </w:tcPr>
          <w:p>
            <w:pPr>
              <w:spacing w:after="100"/>
            </w:pPr>
            <w:r>
              <w:rPr>
                <w:b/>
                <w:sz w:val="20"/>
              </w:rPr>
              <w:t>Model</w:t>
            </w:r>
          </w:p>
        </w:tc>
        <w:tc>
          <w:tcPr>
            <w:tcW w:type="dxa" w:w="2007"/>
          </w:tcPr>
          <w:p>
            <w:pPr>
              <w:spacing w:after="100"/>
            </w:pPr>
            <w:r>
              <w:rPr>
                <w:b/>
                <w:sz w:val="20"/>
              </w:rPr>
              <w:t>True negative</w:t>
            </w:r>
          </w:p>
        </w:tc>
        <w:tc>
          <w:tcPr>
            <w:tcW w:type="dxa" w:w="2007"/>
          </w:tcPr>
          <w:p>
            <w:pPr>
              <w:spacing w:after="100"/>
            </w:pPr>
            <w:r>
              <w:rPr>
                <w:b/>
                <w:sz w:val="20"/>
              </w:rPr>
              <w:t>False positive</w:t>
            </w:r>
          </w:p>
        </w:tc>
        <w:tc>
          <w:tcPr>
            <w:tcW w:type="dxa" w:w="2007"/>
          </w:tcPr>
          <w:p>
            <w:pPr>
              <w:spacing w:after="100"/>
            </w:pPr>
            <w:r>
              <w:rPr>
                <w:b/>
                <w:sz w:val="20"/>
              </w:rPr>
              <w:t>False negative</w:t>
            </w:r>
          </w:p>
        </w:tc>
        <w:tc>
          <w:tcPr>
            <w:tcW w:type="dxa" w:w="2007"/>
          </w:tcPr>
          <w:p>
            <w:pPr>
              <w:spacing w:after="100"/>
            </w:pPr>
            <w:r>
              <w:rPr>
                <w:b/>
                <w:sz w:val="20"/>
              </w:rPr>
              <w:t>True positive</w:t>
            </w:r>
          </w:p>
        </w:tc>
      </w:tr>
      <w:tr>
        <w:trPr>
          <w:cantSplit/>
        </w:trPr>
        <w:tc>
          <w:tcPr>
            <w:tcW w:type="dxa" w:w="2007"/>
          </w:tcPr>
          <w:p>
            <w:pPr>
              <w:spacing w:after="100"/>
            </w:pPr>
            <w:r>
              <w:rPr>
                <w:sz w:val="20"/>
              </w:rPr>
              <w:t>Text-only — Logistic Regression</w:t>
            </w:r>
          </w:p>
        </w:tc>
        <w:tc>
          <w:tcPr>
            <w:tcW w:type="dxa" w:w="2007"/>
          </w:tcPr>
          <w:p>
            <w:pPr>
              <w:spacing w:after="100"/>
            </w:pPr>
            <w:r>
              <w:rPr>
                <w:sz w:val="20"/>
              </w:rPr>
              <w:t>158</w:t>
            </w:r>
          </w:p>
        </w:tc>
        <w:tc>
          <w:tcPr>
            <w:tcW w:type="dxa" w:w="2007"/>
          </w:tcPr>
          <w:p>
            <w:pPr>
              <w:spacing w:after="100"/>
            </w:pPr>
            <w:r>
              <w:rPr>
                <w:sz w:val="20"/>
              </w:rPr>
              <w:t>44</w:t>
            </w:r>
          </w:p>
        </w:tc>
        <w:tc>
          <w:tcPr>
            <w:tcW w:type="dxa" w:w="2007"/>
          </w:tcPr>
          <w:p>
            <w:pPr>
              <w:spacing w:after="100"/>
            </w:pPr>
            <w:r>
              <w:rPr>
                <w:sz w:val="20"/>
              </w:rPr>
              <w:t>76</w:t>
            </w:r>
          </w:p>
        </w:tc>
        <w:tc>
          <w:tcPr>
            <w:tcW w:type="dxa" w:w="2007"/>
          </w:tcPr>
          <w:p>
            <w:pPr>
              <w:spacing w:after="100"/>
            </w:pPr>
            <w:r>
              <w:rPr>
                <w:sz w:val="20"/>
              </w:rPr>
              <w:t>78</w:t>
            </w:r>
          </w:p>
        </w:tc>
      </w:tr>
      <w:tr>
        <w:trPr>
          <w:cantSplit/>
        </w:trPr>
        <w:tc>
          <w:tcPr>
            <w:tcW w:type="dxa" w:w="2007"/>
          </w:tcPr>
          <w:p>
            <w:pPr>
              <w:spacing w:after="100"/>
            </w:pPr>
            <w:r>
              <w:rPr>
                <w:sz w:val="20"/>
              </w:rPr>
              <w:t>ResNet50</w:t>
            </w:r>
          </w:p>
        </w:tc>
        <w:tc>
          <w:tcPr>
            <w:tcW w:type="dxa" w:w="2007"/>
          </w:tcPr>
          <w:p>
            <w:pPr>
              <w:spacing w:after="100"/>
            </w:pPr>
            <w:r>
              <w:rPr>
                <w:sz w:val="20"/>
              </w:rPr>
              <w:t>170</w:t>
            </w:r>
          </w:p>
        </w:tc>
        <w:tc>
          <w:tcPr>
            <w:tcW w:type="dxa" w:w="2007"/>
          </w:tcPr>
          <w:p>
            <w:pPr>
              <w:spacing w:after="100"/>
            </w:pPr>
            <w:r>
              <w:rPr>
                <w:sz w:val="20"/>
              </w:rPr>
              <w:t>32</w:t>
            </w:r>
          </w:p>
        </w:tc>
        <w:tc>
          <w:tcPr>
            <w:tcW w:type="dxa" w:w="2007"/>
          </w:tcPr>
          <w:p>
            <w:pPr>
              <w:spacing w:after="100"/>
            </w:pPr>
            <w:r>
              <w:rPr>
                <w:sz w:val="20"/>
              </w:rPr>
              <w:t>31</w:t>
            </w:r>
          </w:p>
        </w:tc>
        <w:tc>
          <w:tcPr>
            <w:tcW w:type="dxa" w:w="2007"/>
          </w:tcPr>
          <w:p>
            <w:pPr>
              <w:spacing w:after="100"/>
            </w:pPr>
            <w:r>
              <w:rPr>
                <w:sz w:val="20"/>
              </w:rPr>
              <w:t>123</w:t>
            </w:r>
          </w:p>
        </w:tc>
      </w:tr>
      <w:tr>
        <w:trPr>
          <w:cantSplit/>
        </w:trPr>
        <w:tc>
          <w:tcPr>
            <w:tcW w:type="dxa" w:w="2007"/>
          </w:tcPr>
          <w:p>
            <w:pPr>
              <w:spacing w:after="100"/>
            </w:pPr>
            <w:r>
              <w:rPr>
                <w:sz w:val="20"/>
              </w:rPr>
              <w:t>DenseNet121</w:t>
            </w:r>
          </w:p>
        </w:tc>
        <w:tc>
          <w:tcPr>
            <w:tcW w:type="dxa" w:w="2007"/>
          </w:tcPr>
          <w:p>
            <w:pPr>
              <w:spacing w:after="100"/>
            </w:pPr>
            <w:r>
              <w:rPr>
                <w:sz w:val="20"/>
              </w:rPr>
              <w:t>161</w:t>
            </w:r>
          </w:p>
        </w:tc>
        <w:tc>
          <w:tcPr>
            <w:tcW w:type="dxa" w:w="2007"/>
          </w:tcPr>
          <w:p>
            <w:pPr>
              <w:spacing w:after="100"/>
            </w:pPr>
            <w:r>
              <w:rPr>
                <w:sz w:val="20"/>
              </w:rPr>
              <w:t>41</w:t>
            </w:r>
          </w:p>
        </w:tc>
        <w:tc>
          <w:tcPr>
            <w:tcW w:type="dxa" w:w="2007"/>
          </w:tcPr>
          <w:p>
            <w:pPr>
              <w:spacing w:after="100"/>
            </w:pPr>
            <w:r>
              <w:rPr>
                <w:sz w:val="20"/>
              </w:rPr>
              <w:t>33</w:t>
            </w:r>
          </w:p>
        </w:tc>
        <w:tc>
          <w:tcPr>
            <w:tcW w:type="dxa" w:w="2007"/>
          </w:tcPr>
          <w:p>
            <w:pPr>
              <w:spacing w:after="100"/>
            </w:pPr>
            <w:r>
              <w:rPr>
                <w:sz w:val="20"/>
              </w:rPr>
              <w:t>121</w:t>
            </w:r>
          </w:p>
        </w:tc>
      </w:tr>
      <w:tr>
        <w:trPr>
          <w:cantSplit/>
        </w:trPr>
        <w:tc>
          <w:tcPr>
            <w:tcW w:type="dxa" w:w="2007"/>
          </w:tcPr>
          <w:p>
            <w:pPr>
              <w:spacing w:after="100"/>
            </w:pPr>
            <w:r>
              <w:rPr>
                <w:sz w:val="20"/>
              </w:rPr>
              <w:t>Image ensemble</w:t>
            </w:r>
          </w:p>
        </w:tc>
        <w:tc>
          <w:tcPr>
            <w:tcW w:type="dxa" w:w="2007"/>
          </w:tcPr>
          <w:p>
            <w:pPr>
              <w:spacing w:after="100"/>
            </w:pPr>
            <w:r>
              <w:rPr>
                <w:sz w:val="20"/>
              </w:rPr>
              <w:t>172</w:t>
            </w:r>
          </w:p>
        </w:tc>
        <w:tc>
          <w:tcPr>
            <w:tcW w:type="dxa" w:w="2007"/>
          </w:tcPr>
          <w:p>
            <w:pPr>
              <w:spacing w:after="100"/>
            </w:pPr>
            <w:r>
              <w:rPr>
                <w:sz w:val="20"/>
              </w:rPr>
              <w:t>30</w:t>
            </w:r>
          </w:p>
        </w:tc>
        <w:tc>
          <w:tcPr>
            <w:tcW w:type="dxa" w:w="2007"/>
          </w:tcPr>
          <w:p>
            <w:pPr>
              <w:spacing w:after="100"/>
            </w:pPr>
            <w:r>
              <w:rPr>
                <w:sz w:val="20"/>
              </w:rPr>
              <w:t>35</w:t>
            </w:r>
          </w:p>
        </w:tc>
        <w:tc>
          <w:tcPr>
            <w:tcW w:type="dxa" w:w="2007"/>
          </w:tcPr>
          <w:p>
            <w:pPr>
              <w:spacing w:after="100"/>
            </w:pPr>
            <w:r>
              <w:rPr>
                <w:sz w:val="20"/>
              </w:rPr>
              <w:t>119</w:t>
            </w:r>
          </w:p>
        </w:tc>
      </w:tr>
      <w:tr>
        <w:trPr>
          <w:cantSplit/>
        </w:trPr>
        <w:tc>
          <w:tcPr>
            <w:tcW w:type="dxa" w:w="2007"/>
          </w:tcPr>
          <w:p>
            <w:pPr>
              <w:spacing w:after="100"/>
            </w:pPr>
            <w:r>
              <w:rPr>
                <w:sz w:val="20"/>
              </w:rPr>
              <w:t>Multimodal Fusion</w:t>
            </w:r>
          </w:p>
        </w:tc>
        <w:tc>
          <w:tcPr>
            <w:tcW w:type="dxa" w:w="2007"/>
          </w:tcPr>
          <w:p>
            <w:pPr>
              <w:spacing w:after="100"/>
            </w:pPr>
            <w:r>
              <w:rPr>
                <w:sz w:val="20"/>
              </w:rPr>
              <w:t>179</w:t>
            </w:r>
          </w:p>
        </w:tc>
        <w:tc>
          <w:tcPr>
            <w:tcW w:type="dxa" w:w="2007"/>
          </w:tcPr>
          <w:p>
            <w:pPr>
              <w:spacing w:after="100"/>
            </w:pPr>
            <w:r>
              <w:rPr>
                <w:sz w:val="20"/>
              </w:rPr>
              <w:t>23</w:t>
            </w:r>
          </w:p>
        </w:tc>
        <w:tc>
          <w:tcPr>
            <w:tcW w:type="dxa" w:w="2007"/>
          </w:tcPr>
          <w:p>
            <w:pPr>
              <w:spacing w:after="100"/>
            </w:pPr>
            <w:r>
              <w:rPr>
                <w:sz w:val="20"/>
              </w:rPr>
              <w:t>38</w:t>
            </w:r>
          </w:p>
        </w:tc>
        <w:tc>
          <w:tcPr>
            <w:tcW w:type="dxa" w:w="2007"/>
          </w:tcPr>
          <w:p>
            <w:pPr>
              <w:spacing w:after="100"/>
            </w:pPr>
            <w:r>
              <w:rPr>
                <w:sz w:val="20"/>
              </w:rPr>
              <w:t>116</w:t>
            </w:r>
          </w:p>
        </w:tc>
      </w:tr>
    </w:tbl>
    <w:p/>
    <w:p>
      <w:pPr>
        <w:keepNext/>
        <w:jc w:val="center"/>
      </w:pPr>
      <w:r>
        <w:drawing>
          <wp:inline xmlns:a="http://schemas.openxmlformats.org/drawingml/2006/main" xmlns:pic="http://schemas.openxmlformats.org/drawingml/2006/picture">
            <wp:extent cx="6035040" cy="1724297"/>
            <wp:docPr id="6" name="Picture 6"/>
            <wp:cNvGraphicFramePr>
              <a:graphicFrameLocks noChangeAspect="1"/>
            </wp:cNvGraphicFramePr>
            <a:graphic>
              <a:graphicData uri="http://schemas.openxmlformats.org/drawingml/2006/picture">
                <pic:pic>
                  <pic:nvPicPr>
                    <pic:cNvPr id="0" name="multimodal_fusion_curves.png"/>
                    <pic:cNvPicPr/>
                  </pic:nvPicPr>
                  <pic:blipFill>
                    <a:blip r:embed="rId16"/>
                    <a:stretch>
                      <a:fillRect/>
                    </a:stretch>
                  </pic:blipFill>
                  <pic:spPr>
                    <a:xfrm>
                      <a:off x="0" y="0"/>
                      <a:ext cx="6035040" cy="1724297"/>
                    </a:xfrm>
                    <a:prstGeom prst="rect"/>
                  </pic:spPr>
                </pic:pic>
              </a:graphicData>
            </a:graphic>
          </wp:inline>
        </w:drawing>
      </w:r>
    </w:p>
    <w:p>
      <w:pPr>
        <w:pStyle w:val="Caption"/>
        <w:jc w:val="center"/>
      </w:pPr>
      <w:r>
        <w:t>Deployed fusion ROC, precision-recall and confusion matrix</w:t>
      </w:r>
    </w:p>
    <w:p>
      <w:pPr>
        <w:keepNext/>
        <w:jc w:val="center"/>
      </w:pPr>
      <w:r>
        <w:drawing>
          <wp:inline xmlns:a="http://schemas.openxmlformats.org/drawingml/2006/main" xmlns:pic="http://schemas.openxmlformats.org/drawingml/2006/picture">
            <wp:extent cx="6035040" cy="1724297"/>
            <wp:docPr id="7" name="Picture 7"/>
            <wp:cNvGraphicFramePr>
              <a:graphicFrameLocks noChangeAspect="1"/>
            </wp:cNvGraphicFramePr>
            <a:graphic>
              <a:graphicData uri="http://schemas.openxmlformats.org/drawingml/2006/picture">
                <pic:pic>
                  <pic:nvPicPr>
                    <pic:cNvPr id="0" name="text_only_curves.png"/>
                    <pic:cNvPicPr/>
                  </pic:nvPicPr>
                  <pic:blipFill>
                    <a:blip r:embed="rId17"/>
                    <a:stretch>
                      <a:fillRect/>
                    </a:stretch>
                  </pic:blipFill>
                  <pic:spPr>
                    <a:xfrm>
                      <a:off x="0" y="0"/>
                      <a:ext cx="6035040" cy="1724297"/>
                    </a:xfrm>
                    <a:prstGeom prst="rect"/>
                  </pic:spPr>
                </pic:pic>
              </a:graphicData>
            </a:graphic>
          </wp:inline>
        </w:drawing>
      </w:r>
    </w:p>
    <w:p>
      <w:pPr>
        <w:pStyle w:val="Caption"/>
        <w:jc w:val="center"/>
      </w:pPr>
      <w:r>
        <w:t>Text-only ROC, precision-recall and confusion matrix</w:t>
      </w:r>
    </w:p>
    <w:p>
      <w:pPr>
        <w:keepNext/>
        <w:jc w:val="center"/>
      </w:pPr>
      <w:r>
        <w:drawing>
          <wp:inline xmlns:a="http://schemas.openxmlformats.org/drawingml/2006/main" xmlns:pic="http://schemas.openxmlformats.org/drawingml/2006/picture">
            <wp:extent cx="6035040" cy="1724297"/>
            <wp:docPr id="8" name="Picture 8"/>
            <wp:cNvGraphicFramePr>
              <a:graphicFrameLocks noChangeAspect="1"/>
            </wp:cNvGraphicFramePr>
            <a:graphic>
              <a:graphicData uri="http://schemas.openxmlformats.org/drawingml/2006/picture">
                <pic:pic>
                  <pic:nvPicPr>
                    <pic:cNvPr id="0" name="resnet50_curves.png"/>
                    <pic:cNvPicPr/>
                  </pic:nvPicPr>
                  <pic:blipFill>
                    <a:blip r:embed="rId18"/>
                    <a:stretch>
                      <a:fillRect/>
                    </a:stretch>
                  </pic:blipFill>
                  <pic:spPr>
                    <a:xfrm>
                      <a:off x="0" y="0"/>
                      <a:ext cx="6035040" cy="1724297"/>
                    </a:xfrm>
                    <a:prstGeom prst="rect"/>
                  </pic:spPr>
                </pic:pic>
              </a:graphicData>
            </a:graphic>
          </wp:inline>
        </w:drawing>
      </w:r>
    </w:p>
    <w:p>
      <w:pPr>
        <w:pStyle w:val="Caption"/>
        <w:jc w:val="center"/>
      </w:pPr>
      <w:r>
        <w:t>ResNet50 ROC, precision-recall and confusion matrix</w:t>
      </w:r>
    </w:p>
    <w:p>
      <w:pPr>
        <w:keepNext/>
        <w:jc w:val="center"/>
      </w:pPr>
      <w:r>
        <w:drawing>
          <wp:inline xmlns:a="http://schemas.openxmlformats.org/drawingml/2006/main" xmlns:pic="http://schemas.openxmlformats.org/drawingml/2006/picture">
            <wp:extent cx="6035040" cy="1724297"/>
            <wp:docPr id="9" name="Picture 9"/>
            <wp:cNvGraphicFramePr>
              <a:graphicFrameLocks noChangeAspect="1"/>
            </wp:cNvGraphicFramePr>
            <a:graphic>
              <a:graphicData uri="http://schemas.openxmlformats.org/drawingml/2006/picture">
                <pic:pic>
                  <pic:nvPicPr>
                    <pic:cNvPr id="0" name="densenet121_curves.png"/>
                    <pic:cNvPicPr/>
                  </pic:nvPicPr>
                  <pic:blipFill>
                    <a:blip r:embed="rId19"/>
                    <a:stretch>
                      <a:fillRect/>
                    </a:stretch>
                  </pic:blipFill>
                  <pic:spPr>
                    <a:xfrm>
                      <a:off x="0" y="0"/>
                      <a:ext cx="6035040" cy="1724297"/>
                    </a:xfrm>
                    <a:prstGeom prst="rect"/>
                  </pic:spPr>
                </pic:pic>
              </a:graphicData>
            </a:graphic>
          </wp:inline>
        </w:drawing>
      </w:r>
    </w:p>
    <w:p>
      <w:pPr>
        <w:pStyle w:val="Caption"/>
        <w:jc w:val="center"/>
      </w:pPr>
      <w:r>
        <w:t>DenseNet121 ROC, precision-recall and confusion matrix</w:t>
      </w:r>
    </w:p>
    <w:p>
      <w:pPr>
        <w:keepNext/>
        <w:jc w:val="center"/>
      </w:pPr>
      <w:r>
        <w:drawing>
          <wp:inline xmlns:a="http://schemas.openxmlformats.org/drawingml/2006/main" xmlns:pic="http://schemas.openxmlformats.org/drawingml/2006/picture">
            <wp:extent cx="6035040" cy="1724297"/>
            <wp:docPr id="10" name="Picture 10"/>
            <wp:cNvGraphicFramePr>
              <a:graphicFrameLocks noChangeAspect="1"/>
            </wp:cNvGraphicFramePr>
            <a:graphic>
              <a:graphicData uri="http://schemas.openxmlformats.org/drawingml/2006/picture">
                <pic:pic>
                  <pic:nvPicPr>
                    <pic:cNvPr id="0" name="image_ensemble_curves.png"/>
                    <pic:cNvPicPr/>
                  </pic:nvPicPr>
                  <pic:blipFill>
                    <a:blip r:embed="rId20"/>
                    <a:stretch>
                      <a:fillRect/>
                    </a:stretch>
                  </pic:blipFill>
                  <pic:spPr>
                    <a:xfrm>
                      <a:off x="0" y="0"/>
                      <a:ext cx="6035040" cy="1724297"/>
                    </a:xfrm>
                    <a:prstGeom prst="rect"/>
                  </pic:spPr>
                </pic:pic>
              </a:graphicData>
            </a:graphic>
          </wp:inline>
        </w:drawing>
      </w:r>
    </w:p>
    <w:p>
      <w:pPr>
        <w:pStyle w:val="Caption"/>
        <w:jc w:val="center"/>
      </w:pPr>
      <w:r>
        <w:t>Image ensemble ROC, precision-recall and confusion matrix</w:t>
      </w:r>
    </w:p>
    <w:p>
      <w:pPr>
        <w:keepNext/>
        <w:jc w:val="center"/>
      </w:pPr>
      <w:r>
        <w:drawing>
          <wp:inline xmlns:a="http://schemas.openxmlformats.org/drawingml/2006/main" xmlns:pic="http://schemas.openxmlformats.org/drawingml/2006/picture">
            <wp:extent cx="5257799" cy="4206239"/>
            <wp:docPr id="11" name="Picture 11"/>
            <wp:cNvGraphicFramePr>
              <a:graphicFrameLocks noChangeAspect="1"/>
            </wp:cNvGraphicFramePr>
            <a:graphic>
              <a:graphicData uri="http://schemas.openxmlformats.org/drawingml/2006/picture">
                <pic:pic>
                  <pic:nvPicPr>
                    <pic:cNvPr id="0" name="multimodal_fusion_raw_reliability.png"/>
                    <pic:cNvPicPr/>
                  </pic:nvPicPr>
                  <pic:blipFill>
                    <a:blip r:embed="rId21"/>
                    <a:stretch>
                      <a:fillRect/>
                    </a:stretch>
                  </pic:blipFill>
                  <pic:spPr>
                    <a:xfrm>
                      <a:off x="0" y="0"/>
                      <a:ext cx="5257799" cy="4206239"/>
                    </a:xfrm>
                    <a:prstGeom prst="rect"/>
                  </pic:spPr>
                </pic:pic>
              </a:graphicData>
            </a:graphic>
          </wp:inline>
        </w:drawing>
      </w:r>
    </w:p>
    <w:p>
      <w:pPr>
        <w:pStyle w:val="Caption"/>
        <w:jc w:val="center"/>
      </w:pPr>
      <w:r>
        <w:t>Raw fusion-score reliability against weak labels</w:t>
      </w:r>
    </w:p>
    <w:p>
      <w:r>
        <w:t>The reliability plot is descriptive; no probability calibrator was fitted. Scores remain uncalibrated and must not be interpreted as disease probabilities.</w:t>
      </w:r>
    </w:p>
    <w:p>
      <w:pPr>
        <w:pStyle w:val="Heading1"/>
        <w:pageBreakBefore w:val="0"/>
      </w:pPr>
      <w:r>
        <w:t>4. Explanation Plots and Written Reports</w:t>
      </w:r>
    </w:p>
    <w:p>
      <w:r>
        <w:t xml:space="preserve">Grad-CAM differentiates the final fused score at the ResNet50 branch. It explains that branch's contribution, not a combined anatomical map of both CNNs. Token occlusion removes one raw token and measures the change in the final score with image scores fixed. This is </w:t>
      </w:r>
      <w:r>
        <w:rPr>
          <w:b/>
        </w:rPr>
        <w:t>token occlusion, not SHAP</w:t>
      </w:r>
      <w:r>
        <w:t>. Changes are not additive causal effects. Image coordinates do not establish anatomy or patient laterality.</w:t>
      </w:r>
    </w:p>
    <w:tbl>
      <w:tblPr>
        <w:tblStyle w:val="LightShading-Accent1"/>
        <w:tblW w:type="auto" w:w="0"/>
        <w:tblLook w:firstColumn="1" w:firstRow="1" w:lastColumn="0" w:lastRow="0" w:noHBand="0" w:noVBand="1" w:val="04A0"/>
      </w:tblPr>
      <w:tblGrid>
        <w:gridCol w:w="2509"/>
        <w:gridCol w:w="2509"/>
        <w:gridCol w:w="2509"/>
        <w:gridCol w:w="2509"/>
      </w:tblGrid>
      <w:tr>
        <w:trPr>
          <w:tblHeader/>
          <w:cantSplit/>
        </w:trPr>
        <w:tc>
          <w:tcPr>
            <w:tcW w:type="dxa" w:w="2509"/>
          </w:tcPr>
          <w:p>
            <w:pPr>
              <w:spacing w:after="100"/>
            </w:pPr>
            <w:r>
              <w:rPr>
                <w:b/>
                <w:sz w:val="20"/>
              </w:rPr>
              <w:t>Selected test example</w:t>
            </w:r>
          </w:p>
        </w:tc>
        <w:tc>
          <w:tcPr>
            <w:tcW w:type="dxa" w:w="2509"/>
          </w:tcPr>
          <w:p>
            <w:pPr>
              <w:spacing w:after="100"/>
            </w:pPr>
            <w:r>
              <w:rPr>
                <w:b/>
                <w:sz w:val="20"/>
              </w:rPr>
              <w:t>Weak label</w:t>
            </w:r>
          </w:p>
        </w:tc>
        <w:tc>
          <w:tcPr>
            <w:tcW w:type="dxa" w:w="2509"/>
          </w:tcPr>
          <w:p>
            <w:pPr>
              <w:spacing w:after="100"/>
            </w:pPr>
            <w:r>
              <w:rPr>
                <w:b/>
                <w:sz w:val="20"/>
              </w:rPr>
              <w:t>Model outcome</w:t>
            </w:r>
          </w:p>
        </w:tc>
        <w:tc>
          <w:tcPr>
            <w:tcW w:type="dxa" w:w="2509"/>
          </w:tcPr>
          <w:p>
            <w:pPr>
              <w:spacing w:after="100"/>
            </w:pPr>
            <w:r>
              <w:rPr>
                <w:b/>
                <w:sz w:val="20"/>
              </w:rPr>
              <w:t>Single-image score</w:t>
            </w:r>
          </w:p>
        </w:tc>
      </w:tr>
      <w:tr>
        <w:trPr>
          <w:cantSplit/>
        </w:trPr>
        <w:tc>
          <w:tcPr>
            <w:tcW w:type="dxa" w:w="2509"/>
          </w:tcPr>
          <w:p>
            <w:pPr>
              <w:spacing w:after="100"/>
            </w:pPr>
            <w:r>
              <w:rPr>
                <w:sz w:val="20"/>
              </w:rPr>
              <w:t>UID 3212</w:t>
            </w:r>
          </w:p>
        </w:tc>
        <w:tc>
          <w:tcPr>
            <w:tcW w:type="dxa" w:w="2509"/>
          </w:tcPr>
          <w:p>
            <w:pPr>
              <w:spacing w:after="100"/>
            </w:pPr>
            <w:r>
              <w:rPr>
                <w:sz w:val="20"/>
              </w:rPr>
              <w:t>Normal</w:t>
            </w:r>
          </w:p>
        </w:tc>
        <w:tc>
          <w:tcPr>
            <w:tcW w:type="dxa" w:w="2509"/>
          </w:tcPr>
          <w:p>
            <w:pPr>
              <w:spacing w:after="100"/>
            </w:pPr>
            <w:r>
              <w:rPr>
                <w:sz w:val="20"/>
              </w:rPr>
              <w:t>True negative</w:t>
            </w:r>
          </w:p>
        </w:tc>
        <w:tc>
          <w:tcPr>
            <w:tcW w:type="dxa" w:w="2509"/>
          </w:tcPr>
          <w:p>
            <w:pPr>
              <w:spacing w:after="100"/>
            </w:pPr>
            <w:r>
              <w:rPr>
                <w:sz w:val="20"/>
              </w:rPr>
              <w:t>21.34%</w:t>
            </w:r>
          </w:p>
        </w:tc>
      </w:tr>
      <w:tr>
        <w:trPr>
          <w:cantSplit/>
        </w:trPr>
        <w:tc>
          <w:tcPr>
            <w:tcW w:type="dxa" w:w="2509"/>
          </w:tcPr>
          <w:p>
            <w:pPr>
              <w:spacing w:after="100"/>
            </w:pPr>
            <w:r>
              <w:rPr>
                <w:sz w:val="20"/>
              </w:rPr>
              <w:t>UID 2348</w:t>
            </w:r>
          </w:p>
        </w:tc>
        <w:tc>
          <w:tcPr>
            <w:tcW w:type="dxa" w:w="2509"/>
          </w:tcPr>
          <w:p>
            <w:pPr>
              <w:spacing w:after="100"/>
            </w:pPr>
            <w:r>
              <w:rPr>
                <w:sz w:val="20"/>
              </w:rPr>
              <w:t>Abnormal</w:t>
            </w:r>
          </w:p>
        </w:tc>
        <w:tc>
          <w:tcPr>
            <w:tcW w:type="dxa" w:w="2509"/>
          </w:tcPr>
          <w:p>
            <w:pPr>
              <w:spacing w:after="100"/>
            </w:pPr>
            <w:r>
              <w:rPr>
                <w:sz w:val="20"/>
              </w:rPr>
              <w:t>True positive</w:t>
            </w:r>
          </w:p>
        </w:tc>
        <w:tc>
          <w:tcPr>
            <w:tcW w:type="dxa" w:w="2509"/>
          </w:tcPr>
          <w:p>
            <w:pPr>
              <w:spacing w:after="100"/>
            </w:pPr>
            <w:r>
              <w:rPr>
                <w:sz w:val="20"/>
              </w:rPr>
              <w:t>90.79%</w:t>
            </w:r>
          </w:p>
        </w:tc>
      </w:tr>
      <w:tr>
        <w:trPr>
          <w:cantSplit/>
        </w:trPr>
        <w:tc>
          <w:tcPr>
            <w:tcW w:type="dxa" w:w="2509"/>
          </w:tcPr>
          <w:p>
            <w:pPr>
              <w:spacing w:after="100"/>
            </w:pPr>
            <w:r>
              <w:rPr>
                <w:sz w:val="20"/>
              </w:rPr>
              <w:t>UID 2829</w:t>
            </w:r>
          </w:p>
        </w:tc>
        <w:tc>
          <w:tcPr>
            <w:tcW w:type="dxa" w:w="2509"/>
          </w:tcPr>
          <w:p>
            <w:pPr>
              <w:spacing w:after="100"/>
            </w:pPr>
            <w:r>
              <w:rPr>
                <w:sz w:val="20"/>
              </w:rPr>
              <w:t>Normal</w:t>
            </w:r>
          </w:p>
        </w:tc>
        <w:tc>
          <w:tcPr>
            <w:tcW w:type="dxa" w:w="2509"/>
          </w:tcPr>
          <w:p>
            <w:pPr>
              <w:spacing w:after="100"/>
            </w:pPr>
            <w:r>
              <w:rPr>
                <w:sz w:val="20"/>
              </w:rPr>
              <w:t>False positive</w:t>
            </w:r>
          </w:p>
        </w:tc>
        <w:tc>
          <w:tcPr>
            <w:tcW w:type="dxa" w:w="2509"/>
          </w:tcPr>
          <w:p>
            <w:pPr>
              <w:spacing w:after="100"/>
            </w:pPr>
            <w:r>
              <w:rPr>
                <w:sz w:val="20"/>
              </w:rPr>
              <w:t>71.06%</w:t>
            </w:r>
          </w:p>
        </w:tc>
      </w:tr>
    </w:tbl>
    <w:p/>
    <w:p>
      <w:pPr>
        <w:keepNext/>
        <w:jc w:val="center"/>
      </w:pPr>
      <w:r>
        <w:drawing>
          <wp:inline xmlns:a="http://schemas.openxmlformats.org/drawingml/2006/main" xmlns:pic="http://schemas.openxmlformats.org/drawingml/2006/picture">
            <wp:extent cx="6035040" cy="2633472"/>
            <wp:docPr id="12" name="Picture 12"/>
            <wp:cNvGraphicFramePr>
              <a:graphicFrameLocks noChangeAspect="1"/>
            </wp:cNvGraphicFramePr>
            <a:graphic>
              <a:graphicData uri="http://schemas.openxmlformats.org/drawingml/2006/picture">
                <pic:pic>
                  <pic:nvPicPr>
                    <pic:cNvPr id="0" name="xai_uid_3212.png"/>
                    <pic:cNvPicPr/>
                  </pic:nvPicPr>
                  <pic:blipFill>
                    <a:blip r:embed="rId22"/>
                    <a:stretch>
                      <a:fillRect/>
                    </a:stretch>
                  </pic:blipFill>
                  <pic:spPr>
                    <a:xfrm>
                      <a:off x="0" y="0"/>
                      <a:ext cx="6035040" cy="2633472"/>
                    </a:xfrm>
                    <a:prstGeom prst="rect"/>
                  </pic:spPr>
                </pic:pic>
              </a:graphicData>
            </a:graphic>
          </wp:inline>
        </w:drawing>
      </w:r>
    </w:p>
    <w:p>
      <w:pPr>
        <w:pStyle w:val="Caption"/>
        <w:jc w:val="center"/>
      </w:pPr>
      <w:r>
        <w:t>Normal example — actual deployed-model image and text attribution</w:t>
      </w:r>
    </w:p>
    <w:p>
      <w:pPr>
        <w:keepNext/>
        <w:jc w:val="center"/>
      </w:pPr>
      <w:r>
        <w:drawing>
          <wp:inline xmlns:a="http://schemas.openxmlformats.org/drawingml/2006/main" xmlns:pic="http://schemas.openxmlformats.org/drawingml/2006/picture">
            <wp:extent cx="6035040" cy="2633472"/>
            <wp:docPr id="13" name="Picture 13"/>
            <wp:cNvGraphicFramePr>
              <a:graphicFrameLocks noChangeAspect="1"/>
            </wp:cNvGraphicFramePr>
            <a:graphic>
              <a:graphicData uri="http://schemas.openxmlformats.org/drawingml/2006/picture">
                <pic:pic>
                  <pic:nvPicPr>
                    <pic:cNvPr id="0" name="xai_uid_2348.png"/>
                    <pic:cNvPicPr/>
                  </pic:nvPicPr>
                  <pic:blipFill>
                    <a:blip r:embed="rId23"/>
                    <a:stretch>
                      <a:fillRect/>
                    </a:stretch>
                  </pic:blipFill>
                  <pic:spPr>
                    <a:xfrm>
                      <a:off x="0" y="0"/>
                      <a:ext cx="6035040" cy="2633472"/>
                    </a:xfrm>
                    <a:prstGeom prst="rect"/>
                  </pic:spPr>
                </pic:pic>
              </a:graphicData>
            </a:graphic>
          </wp:inline>
        </w:drawing>
      </w:r>
    </w:p>
    <w:p>
      <w:pPr>
        <w:pStyle w:val="Caption"/>
        <w:jc w:val="center"/>
      </w:pPr>
      <w:r>
        <w:t>Abnormal example — actual deployed-model image and text attribution</w:t>
      </w:r>
    </w:p>
    <w:p>
      <w:pPr>
        <w:keepNext/>
        <w:jc w:val="center"/>
      </w:pPr>
      <w:r>
        <w:drawing>
          <wp:inline xmlns:a="http://schemas.openxmlformats.org/drawingml/2006/main" xmlns:pic="http://schemas.openxmlformats.org/drawingml/2006/picture">
            <wp:extent cx="6035040" cy="2633472"/>
            <wp:docPr id="14" name="Picture 14"/>
            <wp:cNvGraphicFramePr>
              <a:graphicFrameLocks noChangeAspect="1"/>
            </wp:cNvGraphicFramePr>
            <a:graphic>
              <a:graphicData uri="http://schemas.openxmlformats.org/drawingml/2006/picture">
                <pic:pic>
                  <pic:nvPicPr>
                    <pic:cNvPr id="0" name="xai_uid_2829.png"/>
                    <pic:cNvPicPr/>
                  </pic:nvPicPr>
                  <pic:blipFill>
                    <a:blip r:embed="rId24"/>
                    <a:stretch>
                      <a:fillRect/>
                    </a:stretch>
                  </pic:blipFill>
                  <pic:spPr>
                    <a:xfrm>
                      <a:off x="0" y="0"/>
                      <a:ext cx="6035040" cy="2633472"/>
                    </a:xfrm>
                    <a:prstGeom prst="rect"/>
                  </pic:spPr>
                </pic:pic>
              </a:graphicData>
            </a:graphic>
          </wp:inline>
        </w:drawing>
      </w:r>
    </w:p>
    <w:p>
      <w:pPr>
        <w:pStyle w:val="Caption"/>
        <w:jc w:val="center"/>
      </w:pPr>
      <w:r>
        <w:t>False-positive example — actual deployed-model image and text attribution</w:t>
      </w:r>
    </w:p>
    <w:p>
      <w:r>
        <w:t xml:space="preserve">The cases were selected after evaluation to demonstrate behavior, not to estimate performance. Study metrics average views; these interface scores use one image. Exact indication/comparison fields are in </w:t>
      </w:r>
      <w:r>
        <w:rPr>
          <w:rFonts w:ascii="Consolas" w:hAnsi="Consolas"/>
          <w:sz w:val="18"/>
        </w:rPr>
        <w:t>demo_images/demo_cases.csv</w:t>
      </w:r>
      <w:r>
        <w:t>.</w:t>
      </w:r>
    </w:p>
    <w:p>
      <w:r>
        <w:t>The rule-based report contains Predicted Class, Impression, Visual Findings, Clinical Context and Recommendation. It describes scores and attribution rather than asserting that attention proves a lesion. Every report retains “Clinician verification is required.”</w:t>
      </w:r>
    </w:p>
    <w:p>
      <w:pPr>
        <w:keepNext/>
        <w:jc w:val="center"/>
      </w:pPr>
      <w:r>
        <w:drawing>
          <wp:inline xmlns:a="http://schemas.openxmlformats.org/drawingml/2006/main" xmlns:pic="http://schemas.openxmlformats.org/drawingml/2006/picture">
            <wp:extent cx="4206240" cy="4206240"/>
            <wp:docPr id="15" name="Picture 15"/>
            <wp:cNvGraphicFramePr>
              <a:graphicFrameLocks noChangeAspect="1"/>
            </wp:cNvGraphicFramePr>
            <a:graphic>
              <a:graphicData uri="http://schemas.openxmlformats.org/drawingml/2006/picture">
                <pic:pic>
                  <pic:nvPicPr>
                    <pic:cNvPr id="0" name="report_screenshot.png"/>
                    <pic:cNvPicPr/>
                  </pic:nvPicPr>
                  <pic:blipFill>
                    <a:blip r:embed="rId25"/>
                    <a:stretch>
                      <a:fillRect/>
                    </a:stretch>
                  </pic:blipFill>
                  <pic:spPr>
                    <a:xfrm>
                      <a:off x="0" y="0"/>
                      <a:ext cx="4206240" cy="4206240"/>
                    </a:xfrm>
                    <a:prstGeom prst="rect"/>
                  </pic:spPr>
                </pic:pic>
              </a:graphicData>
            </a:graphic>
          </wp:inline>
        </w:drawing>
      </w:r>
    </w:p>
    <w:p>
      <w:pPr>
        <w:pStyle w:val="Caption"/>
        <w:jc w:val="center"/>
      </w:pPr>
      <w:r>
        <w:t>Current Streamlit written report</w:t>
      </w:r>
    </w:p>
    <w:p>
      <w:pPr>
        <w:pStyle w:val="Heading1"/>
        <w:pageBreakBefore w:val="0"/>
      </w:pPr>
      <w:r>
        <w:t>5. Team Notebook Analysis &amp; Data Leakage Prevention</w:t>
      </w:r>
    </w:p>
    <w:p>
      <w:r>
        <w:t>The team's classification notebook was inspected and ported into source modules. Missing trained classification exports required local retraining. Image/text alignment, permitted predictors, train-only fitting and grouped evaluation were checked. Ambiguous image names/conflicting UIDs are rejected, exact-image hashes are audited, and thresholds/fusion choices are selected on validation only.</w:t>
      </w:r>
    </w:p>
    <w:p>
      <w:r>
        <w:t xml:space="preserve">The team's first report generator used FLAN-T5-small with ResNet18 visual tokens and XRV pathology tags. Its XRV </w:t>
      </w:r>
      <w:r>
        <w:rPr>
          <w:rFonts w:ascii="Consolas" w:hAnsi="Consolas"/>
          <w:sz w:val="18"/>
        </w:rPr>
        <w:t>densenet121-res224-all</w:t>
      </w:r>
      <w:r>
        <w:t xml:space="preserve"> configuration explicitly lists </w:t>
      </w:r>
      <w:r>
        <w:rPr>
          <w:b/>
        </w:rPr>
        <w:t>OpenI</w:t>
      </w:r>
      <w:r>
        <w:t xml:space="preserve"> among pretraining sources, and Indiana IU radiographs come from the OpenI/NLMCXR collection. This documents </w:t>
      </w:r>
      <w:r>
        <w:rPr>
          <w:b/>
        </w:rPr>
        <w:t>dataset-source pretraining overlap</w:t>
      </w:r>
      <w:r>
        <w:t xml:space="preserve">. Without the upstream per-image training manifest, it does </w:t>
      </w:r>
      <w:r>
        <w:rPr>
          <w:b/>
        </w:rPr>
        <w:t>not</w:t>
      </w:r>
      <w:r>
        <w:t xml:space="preserve"> prove that a particular local test image or patient was seen; it is not accurate to claim proven image-level test leakage or quantify its effect from the available files.</w:t>
      </w:r>
    </w:p>
    <w:p>
      <w:r>
        <w:t xml:space="preserve">Sources: </w:t>
      </w:r>
      <w:hyperlink r:id="rId26">
        <w:r>
          <w:rPr>
            <w:color w:val="193EB0"/>
          </w:rPr>
          <w:t>XRV model definition</w:t>
        </w:r>
      </w:hyperlink>
      <w:r>
        <w:t xml:space="preserve"> and </w:t>
      </w:r>
      <w:hyperlink r:id="rId27">
        <w:r>
          <w:rPr>
            <w:color w:val="193EB0"/>
          </w:rPr>
          <w:t>XRV OpenI dataset implementation</w:t>
        </w:r>
      </w:hyperlink>
      <w:r>
        <w:t>. The deployed classifier uses ImageNet weights and does not use this XRV component.</w:t>
      </w:r>
    </w:p>
    <w:p>
      <w:r>
        <w:t xml:space="preserve">The final notebook, </w:t>
      </w:r>
      <w:r>
        <w:rPr>
          <w:rFonts w:ascii="Consolas" w:hAnsi="Consolas"/>
          <w:sz w:val="18"/>
        </w:rPr>
        <w:t>notebooks/Team29_Report_Generation_Final.ipynb</w:t>
      </w:r>
      <w:r>
        <w:t xml:space="preserve">, removes that tagger. Tags come from a linear classifier trained on IU training studies only, on 1024-D features from the CheXpert-only </w:t>
      </w:r>
      <w:r>
        <w:rPr>
          <w:rFonts w:ascii="Consolas" w:hAnsi="Consolas"/>
          <w:sz w:val="18"/>
        </w:rPr>
        <w:t>densenet121-res224-chex</w:t>
      </w:r>
      <w:r>
        <w:t xml:space="preserve"> weights; training tags are out-of-fold. After generation, a fixed finding sentence is added when the classifier is confident, using thresholds that reach 60% out-of-fold training precision. </w:t>
      </w:r>
      <w:r>
        <w:rPr>
          <w:rFonts w:ascii="Consolas" w:hAnsi="Consolas"/>
          <w:sz w:val="18"/>
        </w:rPr>
        <w:t>src/pulmonary/learned_reports.py</w:t>
      </w:r>
      <w:r>
        <w:t xml:space="preserve"> loads this export and rejects exports built with the OpenI-trained weights.</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tcPr>
          <w:p>
            <w:pPr>
              <w:spacing w:after="100"/>
            </w:pPr>
            <w:r>
              <w:rPr>
                <w:b/>
                <w:sz w:val="20"/>
              </w:rPr>
              <w:t>Reporting option</w:t>
            </w:r>
          </w:p>
        </w:tc>
        <w:tc>
          <w:tcPr>
            <w:tcW w:type="dxa" w:w="3346"/>
          </w:tcPr>
          <w:p>
            <w:pPr>
              <w:spacing w:after="100"/>
            </w:pPr>
            <w:r>
              <w:rPr>
                <w:b/>
                <w:sz w:val="20"/>
              </w:rPr>
              <w:t>Evidence</w:t>
            </w:r>
          </w:p>
        </w:tc>
        <w:tc>
          <w:tcPr>
            <w:tcW w:type="dxa" w:w="3346"/>
          </w:tcPr>
          <w:p>
            <w:pPr>
              <w:spacing w:after="100"/>
            </w:pPr>
            <w:r>
              <w:rPr>
                <w:b/>
                <w:sz w:val="20"/>
              </w:rPr>
              <w:t>Decision</w:t>
            </w:r>
          </w:p>
        </w:tc>
      </w:tr>
      <w:tr>
        <w:trPr>
          <w:cantSplit/>
        </w:trPr>
        <w:tc>
          <w:tcPr>
            <w:tcW w:type="dxa" w:w="3346"/>
          </w:tcPr>
          <w:p>
            <w:pPr>
              <w:spacing w:after="100"/>
            </w:pPr>
            <w:r>
              <w:rPr>
                <w:sz w:val="20"/>
              </w:rPr>
              <w:t>Rule-based evidence summary</w:t>
            </w:r>
          </w:p>
        </w:tc>
        <w:tc>
          <w:tcPr>
            <w:tcW w:type="dxa" w:w="3346"/>
          </w:tcPr>
          <w:p>
            <w:pPr>
              <w:spacing w:after="100"/>
            </w:pPr>
            <w:r>
              <w:rPr>
                <w:sz w:val="20"/>
              </w:rPr>
              <w:t>Deterministic, faithful to classifier/XAI inputs; not a learned radiology report</w:t>
            </w:r>
          </w:p>
        </w:tc>
        <w:tc>
          <w:tcPr>
            <w:tcW w:type="dxa" w:w="3346"/>
          </w:tcPr>
          <w:p>
            <w:pPr>
              <w:spacing w:after="100"/>
            </w:pPr>
            <w:r>
              <w:rPr>
                <w:sz w:val="20"/>
              </w:rPr>
              <w:t>Default in API/UI</w:t>
            </w:r>
          </w:p>
        </w:tc>
      </w:tr>
      <w:tr>
        <w:trPr>
          <w:cantSplit/>
        </w:trPr>
        <w:tc>
          <w:tcPr>
            <w:tcW w:type="dxa" w:w="3346"/>
          </w:tcPr>
          <w:p>
            <w:pPr>
              <w:spacing w:after="100"/>
            </w:pPr>
            <w:r>
              <w:rPr>
                <w:sz w:val="20"/>
              </w:rPr>
              <w:t>Team learned FLAN-T5 draft (final notebook)</w:t>
            </w:r>
          </w:p>
        </w:tc>
        <w:tc>
          <w:tcPr>
            <w:tcW w:type="dxa" w:w="3346"/>
          </w:tcPr>
          <w:p>
            <w:pPr>
              <w:spacing w:after="100"/>
            </w:pPr>
            <w:r>
              <w:rPr>
                <w:sz w:val="20"/>
              </w:rPr>
              <w:t>Notebook reload verified prompts, classifier probabilities and forced findings; fluent text with omission risks</w:t>
            </w:r>
          </w:p>
        </w:tc>
        <w:tc>
          <w:tcPr>
            <w:tcW w:type="dxa" w:w="3346"/>
          </w:tcPr>
          <w:p>
            <w:pPr>
              <w:spacing w:after="100"/>
            </w:pPr>
            <w:r>
              <w:rPr>
                <w:sz w:val="20"/>
              </w:rPr>
              <w:t>Experimental adapter only</w:t>
            </w:r>
          </w:p>
        </w:tc>
      </w:tr>
    </w:tbl>
    <w:p/>
    <w:p>
      <w:r>
        <w:t>The notebook's supplied test results (362 studies) for the final model are BLEU 18.5 / ROUGE-L 0.391 / METEOR 0.339. Lexical finding checks found cardiomegaly in 7/23 reference cases (14 mentions), atelectasis in 2/45 (7) and opacity in 15/70 (53); granuloma was dropped because its classifier was too weak. The superseded OpenI-tagger run had BLEU 17.30 / ROUGE-L 0.377 / METEOR 0.326 with cardiomegaly 7/23, atelectasis 1/45 and opacity 9/70. These are limited lexical checks and language-similarity metrics, not clinician-adjudicated diagnostic accuracy, and they were not re-run in this repository. The test split was evaluated four times during notebook development, so these are not untouched-holdout results. Splits are by study, not patient. Image swaps move both visual tokens and tags, so they do not isolate the visual-token branch. The full notebook analysis and reporting decision are consolidated in this report.</w:t>
      </w:r>
    </w:p>
    <w:p>
      <w:pPr>
        <w:pStyle w:val="Heading1"/>
        <w:pageBreakBefore w:val="0"/>
      </w:pPr>
      <w:r>
        <w:t>6. Functional Tests and Working Solution</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tcPr>
          <w:p>
            <w:pPr>
              <w:spacing w:after="100"/>
            </w:pPr>
            <w:r>
              <w:rPr>
                <w:b/>
                <w:sz w:val="20"/>
              </w:rPr>
              <w:t>Check</w:t>
            </w:r>
          </w:p>
        </w:tc>
        <w:tc>
          <w:tcPr>
            <w:tcW w:type="dxa" w:w="3346"/>
          </w:tcPr>
          <w:p>
            <w:pPr>
              <w:spacing w:after="100"/>
            </w:pPr>
            <w:r>
              <w:rPr>
                <w:b/>
                <w:sz w:val="20"/>
              </w:rPr>
              <w:t>Saved evidence</w:t>
            </w:r>
          </w:p>
        </w:tc>
        <w:tc>
          <w:tcPr>
            <w:tcW w:type="dxa" w:w="3346"/>
          </w:tcPr>
          <w:p>
            <w:pPr>
              <w:spacing w:after="100"/>
            </w:pPr>
            <w:r>
              <w:rPr>
                <w:b/>
                <w:sz w:val="20"/>
              </w:rPr>
              <w:t>Result</w:t>
            </w:r>
          </w:p>
        </w:tc>
      </w:tr>
      <w:tr>
        <w:trPr>
          <w:cantSplit/>
        </w:trPr>
        <w:tc>
          <w:tcPr>
            <w:tcW w:type="dxa" w:w="3346"/>
          </w:tcPr>
          <w:p>
            <w:pPr>
              <w:spacing w:after="100"/>
            </w:pPr>
            <w:r>
              <w:rPr>
                <w:sz w:val="20"/>
              </w:rPr>
              <w:t>Focused regression tests</w:t>
            </w:r>
          </w:p>
        </w:tc>
        <w:tc>
          <w:tcPr>
            <w:tcW w:type="dxa" w:w="3346"/>
          </w:tcPr>
          <w:p>
            <w:pPr>
              <w:spacing w:after="100"/>
            </w:pPr>
            <w:r>
              <w:rPr>
                <w:rFonts w:ascii="Consolas" w:hAnsi="Consolas"/>
                <w:sz w:val="20"/>
              </w:rPr>
              <w:t>reports/evidence/team29/pytest.txt</w:t>
            </w:r>
          </w:p>
        </w:tc>
        <w:tc>
          <w:tcPr>
            <w:tcW w:type="dxa" w:w="3346"/>
          </w:tcPr>
          <w:p>
            <w:pPr>
              <w:spacing w:after="100"/>
            </w:pPr>
            <w:r>
              <w:rPr>
                <w:sz w:val="20"/>
              </w:rPr>
              <w:t>13 passed</w:t>
            </w:r>
          </w:p>
        </w:tc>
      </w:tr>
      <w:tr>
        <w:trPr>
          <w:cantSplit/>
        </w:trPr>
        <w:tc>
          <w:tcPr>
            <w:tcW w:type="dxa" w:w="3346"/>
          </w:tcPr>
          <w:p>
            <w:pPr>
              <w:spacing w:after="100"/>
            </w:pPr>
            <w:r>
              <w:rPr>
                <w:sz w:val="20"/>
              </w:rPr>
              <w:t>Export/software parity</w:t>
            </w:r>
          </w:p>
        </w:tc>
        <w:tc>
          <w:tcPr>
            <w:tcW w:type="dxa" w:w="3346"/>
          </w:tcPr>
          <w:p>
            <w:pPr>
              <w:spacing w:after="100"/>
            </w:pPr>
            <w:r>
              <w:rPr>
                <w:sz w:val="20"/>
              </w:rPr>
              <w:t>Team bundle checksums, direct-vs-fused score tests</w:t>
            </w:r>
          </w:p>
        </w:tc>
        <w:tc>
          <w:tcPr>
            <w:tcW w:type="dxa" w:w="3346"/>
          </w:tcPr>
          <w:p>
            <w:pPr>
              <w:spacing w:after="100"/>
            </w:pPr>
            <w:r>
              <w:rPr>
                <w:sz w:val="20"/>
              </w:rPr>
              <w:t>Passed</w:t>
            </w:r>
          </w:p>
        </w:tc>
      </w:tr>
      <w:tr>
        <w:trPr>
          <w:cantSplit/>
        </w:trPr>
        <w:tc>
          <w:tcPr>
            <w:tcW w:type="dxa" w:w="3346"/>
          </w:tcPr>
          <w:p>
            <w:pPr>
              <w:spacing w:after="100"/>
            </w:pPr>
            <w:r>
              <w:rPr>
                <w:sz w:val="20"/>
              </w:rPr>
              <w:t>API prediction/explanation</w:t>
            </w:r>
          </w:p>
        </w:tc>
        <w:tc>
          <w:tcPr>
            <w:tcW w:type="dxa" w:w="3346"/>
          </w:tcPr>
          <w:p>
            <w:pPr>
              <w:spacing w:after="100"/>
            </w:pPr>
            <w:r>
              <w:rPr>
                <w:rFonts w:ascii="Consolas" w:hAnsi="Consolas"/>
                <w:sz w:val="20"/>
              </w:rPr>
              <w:t>deployment_verification.json</w:t>
            </w:r>
          </w:p>
        </w:tc>
        <w:tc>
          <w:tcPr>
            <w:tcW w:type="dxa" w:w="3346"/>
          </w:tcPr>
          <w:p>
            <w:pPr>
              <w:spacing w:after="100"/>
            </w:pPr>
            <w:r>
              <w:rPr>
                <w:sz w:val="20"/>
              </w:rPr>
              <w:t>HTTP 200; matching version/scores</w:t>
            </w:r>
          </w:p>
        </w:tc>
      </w:tr>
      <w:tr>
        <w:trPr>
          <w:cantSplit/>
        </w:trPr>
        <w:tc>
          <w:tcPr>
            <w:tcW w:type="dxa" w:w="3346"/>
          </w:tcPr>
          <w:p>
            <w:pPr>
              <w:spacing w:after="100"/>
            </w:pPr>
            <w:r>
              <w:rPr>
                <w:sz w:val="20"/>
              </w:rPr>
              <w:t>Invalid missing image</w:t>
            </w:r>
          </w:p>
        </w:tc>
        <w:tc>
          <w:tcPr>
            <w:tcW w:type="dxa" w:w="3346"/>
          </w:tcPr>
          <w:p>
            <w:pPr>
              <w:spacing w:after="100"/>
            </w:pPr>
            <w:r>
              <w:rPr>
                <w:sz w:val="20"/>
              </w:rPr>
              <w:t>Same deployment verification</w:t>
            </w:r>
          </w:p>
        </w:tc>
        <w:tc>
          <w:tcPr>
            <w:tcW w:type="dxa" w:w="3346"/>
          </w:tcPr>
          <w:p>
            <w:pPr>
              <w:spacing w:after="100"/>
            </w:pPr>
            <w:r>
              <w:rPr>
                <w:sz w:val="20"/>
              </w:rPr>
              <w:t>HTTP 422</w:t>
            </w:r>
          </w:p>
        </w:tc>
      </w:tr>
      <w:tr>
        <w:trPr>
          <w:cantSplit/>
        </w:trPr>
        <w:tc>
          <w:tcPr>
            <w:tcW w:type="dxa" w:w="3346"/>
          </w:tcPr>
          <w:p>
            <w:pPr>
              <w:spacing w:after="100"/>
            </w:pPr>
            <w:r>
              <w:rPr>
                <w:sz w:val="20"/>
              </w:rPr>
              <w:t>Three real demo predictions</w:t>
            </w:r>
          </w:p>
        </w:tc>
        <w:tc>
          <w:tcPr>
            <w:tcW w:type="dxa" w:w="3346"/>
          </w:tcPr>
          <w:p>
            <w:pPr>
              <w:spacing w:after="100"/>
            </w:pPr>
            <w:r>
              <w:rPr>
                <w:rFonts w:ascii="Consolas" w:hAnsi="Consolas"/>
                <w:sz w:val="20"/>
              </w:rPr>
              <w:t>demo_prediction_verification.json</w:t>
            </w:r>
          </w:p>
        </w:tc>
        <w:tc>
          <w:tcPr>
            <w:tcW w:type="dxa" w:w="3346"/>
          </w:tcPr>
          <w:p>
            <w:pPr>
              <w:spacing w:after="100"/>
            </w:pPr>
            <w:r>
              <w:rPr>
                <w:sz w:val="20"/>
              </w:rPr>
              <w:t>All matched local export</w:t>
            </w:r>
          </w:p>
        </w:tc>
      </w:tr>
      <w:tr>
        <w:trPr>
          <w:cantSplit/>
        </w:trPr>
        <w:tc>
          <w:tcPr>
            <w:tcW w:type="dxa" w:w="3346"/>
          </w:tcPr>
          <w:p>
            <w:pPr>
              <w:spacing w:after="100"/>
            </w:pPr>
            <w:r>
              <w:rPr>
                <w:sz w:val="20"/>
              </w:rPr>
              <w:t>Container UI report rendering</w:t>
            </w:r>
          </w:p>
        </w:tc>
        <w:tc>
          <w:tcPr>
            <w:tcW w:type="dxa" w:w="3346"/>
          </w:tcPr>
          <w:p>
            <w:pPr>
              <w:spacing w:after="100"/>
            </w:pPr>
            <w:r>
              <w:rPr>
                <w:sz w:val="20"/>
              </w:rPr>
              <w:t>Same deployment verification</w:t>
            </w:r>
          </w:p>
        </w:tc>
        <w:tc>
          <w:tcPr>
            <w:tcW w:type="dxa" w:w="3346"/>
          </w:tcPr>
          <w:p>
            <w:pPr>
              <w:spacing w:after="100"/>
            </w:pPr>
            <w:r>
              <w:rPr>
                <w:sz w:val="20"/>
              </w:rPr>
              <w:t>Passed</w:t>
            </w:r>
          </w:p>
        </w:tc>
      </w:tr>
      <w:tr>
        <w:trPr>
          <w:cantSplit/>
        </w:trPr>
        <w:tc>
          <w:tcPr>
            <w:tcW w:type="dxa" w:w="3346"/>
          </w:tcPr>
          <w:p>
            <w:pPr>
              <w:spacing w:after="100"/>
            </w:pPr>
            <w:r>
              <w:rPr>
                <w:sz w:val="20"/>
              </w:rPr>
              <w:t>Real browser upload/report/download</w:t>
            </w:r>
          </w:p>
        </w:tc>
        <w:tc>
          <w:tcPr>
            <w:tcW w:type="dxa" w:w="3346"/>
          </w:tcPr>
          <w:p>
            <w:pPr>
              <w:spacing w:after="100"/>
            </w:pPr>
            <w:r>
              <w:rPr>
                <w:rFonts w:ascii="Consolas" w:hAnsi="Consolas"/>
                <w:sz w:val="20"/>
              </w:rPr>
              <w:t>automated_demo.json</w:t>
            </w:r>
          </w:p>
        </w:tc>
        <w:tc>
          <w:tcPr>
            <w:tcW w:type="dxa" w:w="3346"/>
          </w:tcPr>
          <w:p>
            <w:pPr>
              <w:spacing w:after="100"/>
            </w:pPr>
            <w:r>
              <w:rPr>
                <w:sz w:val="20"/>
              </w:rPr>
              <w:t>Passed</w:t>
            </w:r>
          </w:p>
        </w:tc>
      </w:tr>
      <w:tr>
        <w:trPr>
          <w:cantSplit/>
        </w:trPr>
        <w:tc>
          <w:tcPr>
            <w:tcW w:type="dxa" w:w="3346"/>
          </w:tcPr>
          <w:p>
            <w:pPr>
              <w:spacing w:after="100"/>
            </w:pPr>
            <w:r>
              <w:rPr>
                <w:sz w:val="20"/>
              </w:rPr>
              <w:t>Both Compose services</w:t>
            </w:r>
          </w:p>
        </w:tc>
        <w:tc>
          <w:tcPr>
            <w:tcW w:type="dxa" w:w="3346"/>
          </w:tcPr>
          <w:p>
            <w:pPr>
              <w:spacing w:after="100"/>
            </w:pPr>
            <w:r>
              <w:rPr>
                <w:sz w:val="20"/>
              </w:rPr>
              <w:t xml:space="preserve">Saved Docker evidence and live </w:t>
            </w:r>
            <w:r>
              <w:rPr>
                <w:rFonts w:ascii="Consolas" w:hAnsi="Consolas"/>
                <w:sz w:val="20"/>
              </w:rPr>
              <w:t>/ready</w:t>
            </w:r>
          </w:p>
        </w:tc>
        <w:tc>
          <w:tcPr>
            <w:tcW w:type="dxa" w:w="3346"/>
          </w:tcPr>
          <w:p>
            <w:pPr>
              <w:spacing w:after="100"/>
            </w:pPr>
            <w:r>
              <w:rPr>
                <w:sz w:val="20"/>
              </w:rPr>
              <w:t>Healthy</w:t>
            </w:r>
          </w:p>
        </w:tc>
      </w:tr>
    </w:tbl>
    <w:p/>
    <w:p>
      <w:r>
        <w:t>The 13 tests cover predictor exclusion, aspect-preserving padding, study-label consistency, validation thresholds, import checksum rejection, real fusion parity, Grad-CAM/report generation, API validation/readiness and Streamlit rendering. Artificial test weights are software fixtures and are not the source of quality metrics. Real model quality comes from the frozen held-out outputs above.</w:t>
      </w:r>
    </w:p>
    <w:p>
      <w:pPr>
        <w:spacing w:after="20"/>
      </w:pPr>
      <w:r>
        <w:rPr>
          <w:rFonts w:ascii="Consolas" w:hAnsi="Consolas"/>
          <w:sz w:val="16"/>
        </w:rPr>
        <w:t>............. [100%]</w:t>
      </w:r>
    </w:p>
    <w:p>
      <w:pPr>
        <w:spacing w:after="20"/>
      </w:pPr>
      <w:r>
        <w:rPr>
          <w:rFonts w:ascii="Consolas" w:hAnsi="Consolas"/>
          <w:sz w:val="16"/>
        </w:rPr>
        <w:t>13 passed in 24.75s</w:t>
      </w:r>
    </w:p>
    <w:tbl>
      <w:tblPr>
        <w:tblStyle w:val="LightShading-Accent1"/>
        <w:tblW w:type="auto" w:w="0"/>
        <w:tblLook w:firstColumn="1" w:firstRow="1" w:lastColumn="0" w:lastRow="0" w:noHBand="0" w:noVBand="1" w:val="04A0"/>
      </w:tblPr>
      <w:tblGrid>
        <w:gridCol w:w="5018"/>
        <w:gridCol w:w="5018"/>
      </w:tblGrid>
      <w:tr>
        <w:trPr>
          <w:tblHeader/>
          <w:cantSplit/>
        </w:trPr>
        <w:tc>
          <w:tcPr>
            <w:tcW w:type="dxa" w:w="5018"/>
          </w:tcPr>
          <w:p>
            <w:pPr>
              <w:spacing w:after="100"/>
            </w:pPr>
            <w:r>
              <w:rPr>
                <w:b/>
                <w:sz w:val="20"/>
              </w:rPr>
              <w:t>Runtime component</w:t>
            </w:r>
          </w:p>
        </w:tc>
        <w:tc>
          <w:tcPr>
            <w:tcW w:type="dxa" w:w="5018"/>
          </w:tcPr>
          <w:p>
            <w:pPr>
              <w:spacing w:after="100"/>
            </w:pPr>
            <w:r>
              <w:rPr>
                <w:b/>
                <w:sz w:val="20"/>
              </w:rPr>
              <w:t>Configuration</w:t>
            </w:r>
          </w:p>
        </w:tc>
      </w:tr>
      <w:tr>
        <w:trPr>
          <w:cantSplit/>
        </w:trPr>
        <w:tc>
          <w:tcPr>
            <w:tcW w:type="dxa" w:w="5018"/>
          </w:tcPr>
          <w:p>
            <w:pPr>
              <w:spacing w:after="100"/>
            </w:pPr>
            <w:r>
              <w:rPr>
                <w:sz w:val="20"/>
              </w:rPr>
              <w:t>API</w:t>
            </w:r>
          </w:p>
        </w:tc>
        <w:tc>
          <w:tcPr>
            <w:tcW w:type="dxa" w:w="5018"/>
          </w:tcPr>
          <w:p>
            <w:pPr>
              <w:spacing w:after="100"/>
            </w:pPr>
            <w:r>
              <w:rPr>
                <w:sz w:val="20"/>
              </w:rPr>
              <w:t>FastAPI, CPU inference, localhost:8080</w:t>
            </w:r>
          </w:p>
        </w:tc>
      </w:tr>
      <w:tr>
        <w:trPr>
          <w:cantSplit/>
        </w:trPr>
        <w:tc>
          <w:tcPr>
            <w:tcW w:type="dxa" w:w="5018"/>
          </w:tcPr>
          <w:p>
            <w:pPr>
              <w:spacing w:after="100"/>
            </w:pPr>
            <w:r>
              <w:rPr>
                <w:sz w:val="20"/>
              </w:rPr>
              <w:t>UI</w:t>
            </w:r>
          </w:p>
        </w:tc>
        <w:tc>
          <w:tcPr>
            <w:tcW w:type="dxa" w:w="5018"/>
          </w:tcPr>
          <w:p>
            <w:pPr>
              <w:spacing w:after="100"/>
            </w:pPr>
            <w:r>
              <w:rPr>
                <w:sz w:val="20"/>
              </w:rPr>
              <w:t>Streamlit, localhost:8501; internal API URL http://api:8080</w:t>
            </w:r>
          </w:p>
        </w:tc>
      </w:tr>
      <w:tr>
        <w:trPr>
          <w:cantSplit/>
        </w:trPr>
        <w:tc>
          <w:tcPr>
            <w:tcW w:type="dxa" w:w="5018"/>
          </w:tcPr>
          <w:p>
            <w:pPr>
              <w:spacing w:after="100"/>
            </w:pPr>
            <w:r>
              <w:rPr>
                <w:sz w:val="20"/>
              </w:rPr>
              <w:t>Model mount</w:t>
            </w:r>
          </w:p>
        </w:tc>
        <w:tc>
          <w:tcPr>
            <w:tcW w:type="dxa" w:w="5018"/>
          </w:tcPr>
          <w:p>
            <w:pPr>
              <w:spacing w:after="100"/>
            </w:pPr>
            <w:r>
              <w:rPr>
                <w:rFonts w:ascii="Consolas" w:hAnsi="Consolas"/>
                <w:sz w:val="20"/>
              </w:rPr>
              <w:t>artifacts/team_bundle</w:t>
            </w:r>
            <w:r>
              <w:rPr>
                <w:sz w:val="20"/>
              </w:rPr>
              <w:t xml:space="preserve"> → </w:t>
            </w:r>
            <w:r>
              <w:rPr>
                <w:rFonts w:ascii="Consolas" w:hAnsi="Consolas"/>
                <w:sz w:val="20"/>
              </w:rPr>
              <w:t>/models</w:t>
            </w:r>
            <w:r>
              <w:rPr>
                <w:sz w:val="20"/>
              </w:rPr>
              <w:t>, read-only</w:t>
            </w:r>
          </w:p>
        </w:tc>
      </w:tr>
      <w:tr>
        <w:trPr>
          <w:cantSplit/>
        </w:trPr>
        <w:tc>
          <w:tcPr>
            <w:tcW w:type="dxa" w:w="5018"/>
          </w:tcPr>
          <w:p>
            <w:pPr>
              <w:spacing w:after="100"/>
            </w:pPr>
            <w:r>
              <w:rPr>
                <w:sz w:val="20"/>
              </w:rPr>
              <w:t>Model version</w:t>
            </w:r>
          </w:p>
        </w:tc>
        <w:tc>
          <w:tcPr>
            <w:tcW w:type="dxa" w:w="5018"/>
          </w:tcPr>
          <w:p>
            <w:pPr>
              <w:spacing w:after="100"/>
            </w:pPr>
            <w:r>
              <w:rPr>
                <w:sz w:val="20"/>
              </w:rPr>
              <w:t>0.2.0-team29-47e281fc</w:t>
            </w:r>
          </w:p>
        </w:tc>
      </w:tr>
      <w:tr>
        <w:trPr>
          <w:cantSplit/>
        </w:trPr>
        <w:tc>
          <w:tcPr>
            <w:tcW w:type="dxa" w:w="5018"/>
          </w:tcPr>
          <w:p>
            <w:pPr>
              <w:spacing w:after="100"/>
            </w:pPr>
            <w:r>
              <w:rPr>
                <w:sz w:val="20"/>
              </w:rPr>
              <w:t>Recorded /predict latency</w:t>
            </w:r>
          </w:p>
        </w:tc>
        <w:tc>
          <w:tcPr>
            <w:tcW w:type="dxa" w:w="5018"/>
          </w:tcPr>
          <w:p>
            <w:pPr>
              <w:spacing w:after="100"/>
            </w:pPr>
            <w:r>
              <w:rPr>
                <w:sz w:val="20"/>
              </w:rPr>
              <w:t>3.57 seconds for selected case; not a benchmark</w:t>
            </w:r>
          </w:p>
        </w:tc>
      </w:tr>
      <w:tr>
        <w:trPr>
          <w:cantSplit/>
        </w:trPr>
        <w:tc>
          <w:tcPr>
            <w:tcW w:type="dxa" w:w="5018"/>
          </w:tcPr>
          <w:p>
            <w:pPr>
              <w:spacing w:after="100"/>
            </w:pPr>
            <w:r>
              <w:rPr>
                <w:sz w:val="20"/>
              </w:rPr>
              <w:t>Failure behavior</w:t>
            </w:r>
          </w:p>
        </w:tc>
        <w:tc>
          <w:tcPr>
            <w:tcW w:type="dxa" w:w="5018"/>
          </w:tcPr>
          <w:p>
            <w:pPr>
              <w:spacing w:after="100"/>
            </w:pPr>
            <w:r>
              <w:rPr>
                <w:sz w:val="20"/>
              </w:rPr>
              <w:t>Unavailable model → readiness/inference 503; no invented scores</w:t>
            </w:r>
          </w:p>
        </w:tc>
      </w:tr>
    </w:tbl>
    <w:p/>
    <w:p>
      <w:pPr>
        <w:keepNext/>
        <w:jc w:val="center"/>
      </w:pPr>
      <w:r>
        <w:drawing>
          <wp:inline xmlns:a="http://schemas.openxmlformats.org/drawingml/2006/main" xmlns:pic="http://schemas.openxmlformats.org/drawingml/2006/picture">
            <wp:extent cx="4206240" cy="4206240"/>
            <wp:docPr id="16" name="Picture 16"/>
            <wp:cNvGraphicFramePr>
              <a:graphicFrameLocks noChangeAspect="1"/>
            </wp:cNvGraphicFramePr>
            <a:graphic>
              <a:graphicData uri="http://schemas.openxmlformats.org/drawingml/2006/picture">
                <pic:pic>
                  <pic:nvPicPr>
                    <pic:cNvPr id="0" name="swagger_screenshot.png"/>
                    <pic:cNvPicPr/>
                  </pic:nvPicPr>
                  <pic:blipFill>
                    <a:blip r:embed="rId28"/>
                    <a:stretch>
                      <a:fillRect/>
                    </a:stretch>
                  </pic:blipFill>
                  <pic:spPr>
                    <a:xfrm>
                      <a:off x="0" y="0"/>
                      <a:ext cx="4206240" cy="4206240"/>
                    </a:xfrm>
                    <a:prstGeom prst="rect"/>
                  </pic:spPr>
                </pic:pic>
              </a:graphicData>
            </a:graphic>
          </wp:inline>
        </w:drawing>
      </w:r>
    </w:p>
    <w:p>
      <w:pPr>
        <w:pStyle w:val="Caption"/>
        <w:jc w:val="center"/>
      </w:pPr>
      <w:r>
        <w:t>Actual current FastAPI Swagger UI</w:t>
      </w:r>
    </w:p>
    <w:p>
      <w:pPr>
        <w:keepNext/>
        <w:jc w:val="center"/>
      </w:pPr>
      <w:r>
        <w:drawing>
          <wp:inline xmlns:a="http://schemas.openxmlformats.org/drawingml/2006/main" xmlns:pic="http://schemas.openxmlformats.org/drawingml/2006/picture">
            <wp:extent cx="6035040" cy="1407768"/>
            <wp:docPr id="17" name="Picture 17"/>
            <wp:cNvGraphicFramePr>
              <a:graphicFrameLocks noChangeAspect="1"/>
            </wp:cNvGraphicFramePr>
            <a:graphic>
              <a:graphicData uri="http://schemas.openxmlformats.org/drawingml/2006/picture">
                <pic:pic>
                  <pic:nvPicPr>
                    <pic:cNvPr id="0" name="docker_desktop_screenshot.png"/>
                    <pic:cNvPicPr/>
                  </pic:nvPicPr>
                  <pic:blipFill>
                    <a:blip r:embed="rId29"/>
                    <a:stretch>
                      <a:fillRect/>
                    </a:stretch>
                  </pic:blipFill>
                  <pic:spPr>
                    <a:xfrm>
                      <a:off x="0" y="0"/>
                      <a:ext cx="6035040" cy="1407768"/>
                    </a:xfrm>
                    <a:prstGeom prst="rect"/>
                  </pic:spPr>
                </pic:pic>
              </a:graphicData>
            </a:graphic>
          </wp:inline>
        </w:drawing>
      </w:r>
    </w:p>
    <w:p>
      <w:pPr>
        <w:pStyle w:val="Caption"/>
        <w:jc w:val="center"/>
      </w:pPr>
      <w:r>
        <w:t>Docker Desktop container list — header omitted for privacy</w:t>
      </w:r>
    </w:p>
    <w:p>
      <w:pPr>
        <w:keepNext/>
        <w:jc w:val="center"/>
      </w:pPr>
      <w:r>
        <w:drawing>
          <wp:inline xmlns:a="http://schemas.openxmlformats.org/drawingml/2006/main" xmlns:pic="http://schemas.openxmlformats.org/drawingml/2006/picture">
            <wp:extent cx="4206240" cy="4206240"/>
            <wp:docPr id="18" name="Picture 18"/>
            <wp:cNvGraphicFramePr>
              <a:graphicFrameLocks noChangeAspect="1"/>
            </wp:cNvGraphicFramePr>
            <a:graphic>
              <a:graphicData uri="http://schemas.openxmlformats.org/drawingml/2006/picture">
                <pic:pic>
                  <pic:nvPicPr>
                    <pic:cNvPr id="0" name="ui_screenshot.png"/>
                    <pic:cNvPicPr/>
                  </pic:nvPicPr>
                  <pic:blipFill>
                    <a:blip r:embed="rId30"/>
                    <a:stretch>
                      <a:fillRect/>
                    </a:stretch>
                  </pic:blipFill>
                  <pic:spPr>
                    <a:xfrm>
                      <a:off x="0" y="0"/>
                      <a:ext cx="4206240" cy="4206240"/>
                    </a:xfrm>
                    <a:prstGeom prst="rect"/>
                  </pic:spPr>
                </pic:pic>
              </a:graphicData>
            </a:graphic>
          </wp:inline>
        </w:drawing>
      </w:r>
    </w:p>
    <w:p>
      <w:pPr>
        <w:pStyle w:val="Caption"/>
        <w:jc w:val="center"/>
      </w:pPr>
      <w:r>
        <w:t>Actual current Streamlit interface</w:t>
      </w:r>
    </w:p>
    <w:p>
      <w:r>
        <w:t>Start from the project root:</w:t>
      </w:r>
    </w:p>
    <w:p>
      <w:pPr>
        <w:spacing w:after="20"/>
      </w:pPr>
      <w:r>
        <w:rPr>
          <w:rFonts w:ascii="Consolas" w:hAnsi="Consolas"/>
          <w:sz w:val="16"/>
        </w:rPr>
        <w:t>docker compose up -d --no-build --wait --wait-timeout 180</w:t>
      </w:r>
    </w:p>
    <w:p>
      <w:pPr>
        <w:spacing w:after="20"/>
      </w:pPr>
      <w:r>
        <w:rPr>
          <w:rFonts w:ascii="Consolas" w:hAnsi="Consolas"/>
          <w:sz w:val="16"/>
        </w:rPr>
        <w:t>docker compose ps</w:t>
      </w:r>
    </w:p>
    <w:p>
      <w:pPr>
        <w:spacing w:after="20"/>
      </w:pPr>
      <w:r>
        <w:rPr>
          <w:rFonts w:ascii="Consolas" w:hAnsi="Consolas"/>
          <w:sz w:val="16"/>
        </w:rPr>
        <w:t>Invoke-RestMethod http://localhost:8080/ready</w:t>
      </w:r>
    </w:p>
    <w:p>
      <w:pPr>
        <w:spacing w:after="20"/>
      </w:pPr>
      <w:r>
        <w:rPr>
          <w:rFonts w:ascii="Consolas" w:hAnsi="Consolas"/>
          <w:sz w:val="16"/>
        </w:rPr>
        <w:t>Invoke-RestMethod http://localhost:8080/model-info</w:t>
      </w:r>
    </w:p>
    <w:p>
      <w:r>
        <w:t xml:space="preserve">A fresh checkout needs a trusted complete model bundle first. Model binaries and raw data are excluded from Git. The offline bundle archive is packaged separately under </w:t>
      </w:r>
      <w:r>
        <w:rPr>
          <w:rFonts w:ascii="Consolas" w:hAnsi="Consolas"/>
          <w:sz w:val="18"/>
        </w:rPr>
        <w:t>dist/</w:t>
      </w:r>
      <w:r>
        <w:t xml:space="preserve">; restore its files into </w:t>
      </w:r>
      <w:r>
        <w:rPr>
          <w:rFonts w:ascii="Consolas" w:hAnsi="Consolas"/>
          <w:sz w:val="18"/>
        </w:rPr>
        <w:t>artifacts/team_bundle/</w:t>
      </w:r>
      <w:r>
        <w:t xml:space="preserve">. A clean dependency build uses </w:t>
      </w:r>
      <w:r>
        <w:rPr>
          <w:rFonts w:ascii="Consolas" w:hAnsi="Consolas"/>
          <w:sz w:val="18"/>
        </w:rPr>
        <w:t>docker compose build</w:t>
      </w:r>
      <w:r>
        <w:t xml:space="preserve">; an existing trusted image supports the smaller code-only </w:t>
      </w:r>
      <w:r>
        <w:rPr>
          <w:rFonts w:ascii="Consolas" w:hAnsi="Consolas"/>
          <w:sz w:val="18"/>
        </w:rPr>
        <w:t>Dockerfile.update</w:t>
      </w:r>
      <w:r>
        <w:t xml:space="preserve"> build. See README and </w:t>
      </w:r>
      <w:r>
        <w:rPr>
          <w:rFonts w:ascii="Consolas" w:hAnsi="Consolas"/>
          <w:sz w:val="18"/>
        </w:rPr>
        <w:t>docs/demo_runbook.md</w:t>
      </w:r>
      <w:r>
        <w:t>.</w:t>
      </w:r>
    </w:p>
    <w:p>
      <w:pPr>
        <w:pStyle w:val="Heading1"/>
        <w:pageBreakBefore w:val="0"/>
      </w:pPr>
      <w:r>
        <w:t>7. Submission Package and Limits</w:t>
      </w:r>
    </w:p>
    <w:tbl>
      <w:tblPr>
        <w:tblStyle w:val="LightShading-Accent1"/>
        <w:tblW w:type="auto" w:w="0"/>
        <w:tblLook w:firstColumn="1" w:firstRow="1" w:lastColumn="0" w:lastRow="0" w:noHBand="0" w:noVBand="1" w:val="04A0"/>
      </w:tblPr>
      <w:tblGrid>
        <w:gridCol w:w="5018"/>
        <w:gridCol w:w="5018"/>
      </w:tblGrid>
      <w:tr>
        <w:trPr>
          <w:tblHeader/>
          <w:cantSplit/>
        </w:trPr>
        <w:tc>
          <w:tcPr>
            <w:tcW w:type="dxa" w:w="5018"/>
          </w:tcPr>
          <w:p>
            <w:pPr>
              <w:spacing w:after="100"/>
            </w:pPr>
            <w:r>
              <w:rPr>
                <w:b/>
                <w:sz w:val="20"/>
              </w:rPr>
              <w:t>SIC item</w:t>
            </w:r>
          </w:p>
        </w:tc>
        <w:tc>
          <w:tcPr>
            <w:tcW w:type="dxa" w:w="5018"/>
          </w:tcPr>
          <w:p>
            <w:pPr>
              <w:spacing w:after="100"/>
            </w:pPr>
            <w:r>
              <w:rPr>
                <w:b/>
                <w:sz w:val="20"/>
              </w:rPr>
              <w:t>Artifact / evidence</w:t>
            </w:r>
          </w:p>
        </w:tc>
      </w:tr>
      <w:tr>
        <w:trPr>
          <w:cantSplit/>
        </w:trPr>
        <w:tc>
          <w:tcPr>
            <w:tcW w:type="dxa" w:w="5018"/>
          </w:tcPr>
          <w:p>
            <w:pPr>
              <w:spacing w:after="100"/>
            </w:pPr>
            <w:r>
              <w:rPr>
                <w:sz w:val="20"/>
              </w:rPr>
              <w:t>01 Source code</w:t>
            </w:r>
          </w:p>
        </w:tc>
        <w:tc>
          <w:tcPr>
            <w:tcW w:type="dxa" w:w="5018"/>
          </w:tcPr>
          <w:p>
            <w:pPr>
              <w:spacing w:after="100"/>
            </w:pPr>
            <w:r>
              <w:rPr>
                <w:rFonts w:ascii="Consolas" w:hAnsi="Consolas"/>
                <w:sz w:val="20"/>
              </w:rPr>
              <w:t>src/</w:t>
            </w:r>
            <w:r>
              <w:rPr>
                <w:sz w:val="20"/>
              </w:rPr>
              <w:t xml:space="preserve">, </w:t>
            </w:r>
            <w:r>
              <w:rPr>
                <w:rFonts w:ascii="Consolas" w:hAnsi="Consolas"/>
                <w:sz w:val="20"/>
              </w:rPr>
              <w:t>app/</w:t>
            </w:r>
            <w:r>
              <w:rPr>
                <w:sz w:val="20"/>
              </w:rPr>
              <w:t xml:space="preserve">, </w:t>
            </w:r>
            <w:r>
              <w:rPr>
                <w:rFonts w:ascii="Consolas" w:hAnsi="Consolas"/>
                <w:sz w:val="20"/>
              </w:rPr>
              <w:t>ui/</w:t>
            </w:r>
            <w:r>
              <w:rPr>
                <w:sz w:val="20"/>
              </w:rPr>
              <w:t xml:space="preserve">, </w:t>
            </w:r>
            <w:r>
              <w:rPr>
                <w:rFonts w:ascii="Consolas" w:hAnsi="Consolas"/>
                <w:sz w:val="20"/>
              </w:rPr>
              <w:t>scripts/</w:t>
            </w:r>
            <w:r>
              <w:rPr>
                <w:sz w:val="20"/>
              </w:rPr>
              <w:t xml:space="preserve">, </w:t>
            </w:r>
            <w:r>
              <w:rPr>
                <w:rFonts w:ascii="Consolas" w:hAnsi="Consolas"/>
                <w:sz w:val="20"/>
              </w:rPr>
              <w:t>tests/</w:t>
            </w:r>
          </w:p>
        </w:tc>
      </w:tr>
      <w:tr>
        <w:trPr>
          <w:cantSplit/>
        </w:trPr>
        <w:tc>
          <w:tcPr>
            <w:tcW w:type="dxa" w:w="5018"/>
          </w:tcPr>
          <w:p>
            <w:pPr>
              <w:spacing w:after="100"/>
            </w:pPr>
            <w:r>
              <w:rPr>
                <w:sz w:val="20"/>
              </w:rPr>
              <w:t>02 Technical documentation</w:t>
            </w:r>
          </w:p>
        </w:tc>
        <w:tc>
          <w:tcPr>
            <w:tcW w:type="dxa" w:w="5018"/>
          </w:tcPr>
          <w:p>
            <w:pPr>
              <w:spacing w:after="100"/>
            </w:pPr>
            <w:r>
              <w:rPr>
                <w:sz w:val="20"/>
              </w:rPr>
              <w:t>README, architecture, dependencies and execution guides</w:t>
            </w:r>
          </w:p>
        </w:tc>
      </w:tr>
      <w:tr>
        <w:trPr>
          <w:cantSplit/>
        </w:trPr>
        <w:tc>
          <w:tcPr>
            <w:tcW w:type="dxa" w:w="5018"/>
          </w:tcPr>
          <w:p>
            <w:pPr>
              <w:spacing w:after="100"/>
            </w:pPr>
            <w:r>
              <w:rPr>
                <w:sz w:val="20"/>
              </w:rPr>
              <w:t>03 Data assets</w:t>
            </w:r>
          </w:p>
        </w:tc>
        <w:tc>
          <w:tcPr>
            <w:tcW w:type="dxa" w:w="5018"/>
          </w:tcPr>
          <w:p>
            <w:pPr>
              <w:spacing w:after="100"/>
            </w:pPr>
            <w:r>
              <w:rPr>
                <w:rFonts w:ascii="Consolas" w:hAnsi="Consolas"/>
                <w:sz w:val="20"/>
              </w:rPr>
              <w:t>docs/data_assets.md</w:t>
            </w:r>
            <w:r>
              <w:rPr>
                <w:sz w:val="20"/>
              </w:rPr>
              <w:t>, provenance, dictionary, split manifest</w:t>
            </w:r>
          </w:p>
        </w:tc>
      </w:tr>
      <w:tr>
        <w:trPr>
          <w:cantSplit/>
        </w:trPr>
        <w:tc>
          <w:tcPr>
            <w:tcW w:type="dxa" w:w="5018"/>
          </w:tcPr>
          <w:p>
            <w:pPr>
              <w:spacing w:after="100"/>
            </w:pPr>
            <w:r>
              <w:rPr>
                <w:sz w:val="20"/>
              </w:rPr>
              <w:t>04 Technical evidence</w:t>
            </w:r>
          </w:p>
        </w:tc>
        <w:tc>
          <w:tcPr>
            <w:tcW w:type="dxa" w:w="5018"/>
          </w:tcPr>
          <w:p>
            <w:pPr>
              <w:spacing w:after="100"/>
            </w:pPr>
            <w:r>
              <w:rPr>
                <w:sz w:val="20"/>
              </w:rPr>
              <w:t>This report, tracked searches, comparison/XAI plots and tests</w:t>
            </w:r>
          </w:p>
        </w:tc>
      </w:tr>
      <w:tr>
        <w:trPr>
          <w:cantSplit/>
        </w:trPr>
        <w:tc>
          <w:tcPr>
            <w:tcW w:type="dxa" w:w="5018"/>
          </w:tcPr>
          <w:p>
            <w:pPr>
              <w:spacing w:after="100"/>
            </w:pPr>
            <w:r>
              <w:rPr>
                <w:sz w:val="20"/>
              </w:rPr>
              <w:t>05 Working solution</w:t>
            </w:r>
          </w:p>
        </w:tc>
        <w:tc>
          <w:tcPr>
            <w:tcW w:type="dxa" w:w="5018"/>
          </w:tcPr>
          <w:p>
            <w:pPr>
              <w:spacing w:after="100"/>
            </w:pPr>
            <w:r>
              <w:rPr>
                <w:sz w:val="20"/>
              </w:rPr>
              <w:t>Versioned model bundle, offline archive and verified Compose stack</w:t>
            </w:r>
          </w:p>
        </w:tc>
      </w:tr>
      <w:tr>
        <w:trPr>
          <w:cantSplit/>
        </w:trPr>
        <w:tc>
          <w:tcPr>
            <w:tcW w:type="dxa" w:w="5018"/>
          </w:tcPr>
          <w:p>
            <w:pPr>
              <w:spacing w:after="100"/>
            </w:pPr>
            <w:r>
              <w:rPr>
                <w:sz w:val="20"/>
              </w:rPr>
              <w:t>06 Presentation</w:t>
            </w:r>
          </w:p>
        </w:tc>
        <w:tc>
          <w:tcPr>
            <w:tcW w:type="dxa" w:w="5018"/>
          </w:tcPr>
          <w:p>
            <w:pPr>
              <w:spacing w:after="100"/>
            </w:pPr>
            <w:r>
              <w:rPr>
                <w:rFonts w:ascii="Consolas" w:hAnsi="Consolas"/>
                <w:sz w:val="20"/>
              </w:rPr>
              <w:t>docs/SIC_Final_Presentation.pptx</w:t>
            </w:r>
            <w:r>
              <w:rPr>
                <w:sz w:val="20"/>
              </w:rPr>
              <w:t>, current notes and inserted assets</w:t>
            </w:r>
          </w:p>
        </w:tc>
      </w:tr>
      <w:tr>
        <w:trPr>
          <w:cantSplit/>
        </w:trPr>
        <w:tc>
          <w:tcPr>
            <w:tcW w:type="dxa" w:w="5018"/>
          </w:tcPr>
          <w:p>
            <w:pPr>
              <w:spacing w:after="100"/>
            </w:pPr>
            <w:r>
              <w:rPr>
                <w:sz w:val="20"/>
              </w:rPr>
              <w:t>07 Demonstration</w:t>
            </w:r>
          </w:p>
        </w:tc>
        <w:tc>
          <w:tcPr>
            <w:tcW w:type="dxa" w:w="5018"/>
          </w:tcPr>
          <w:p>
            <w:pPr>
              <w:spacing w:after="100"/>
            </w:pPr>
            <w:r>
              <w:rPr>
                <w:rFonts w:ascii="Consolas" w:hAnsi="Consolas"/>
                <w:sz w:val="20"/>
              </w:rPr>
              <w:t>docs/demo_runbook.md</w:t>
            </w:r>
            <w:r>
              <w:rPr>
                <w:sz w:val="20"/>
              </w:rPr>
              <w:t>, automation and recorded fallback</w:t>
            </w:r>
          </w:p>
        </w:tc>
      </w:tr>
      <w:tr>
        <w:trPr>
          <w:cantSplit/>
        </w:trPr>
        <w:tc>
          <w:tcPr>
            <w:tcW w:type="dxa" w:w="5018"/>
          </w:tcPr>
          <w:p>
            <w:pPr>
              <w:spacing w:after="100"/>
            </w:pPr>
            <w:r>
              <w:rPr>
                <w:sz w:val="20"/>
              </w:rPr>
              <w:t>08 Team contribution summary</w:t>
            </w:r>
          </w:p>
        </w:tc>
        <w:tc>
          <w:tcPr>
            <w:tcW w:type="dxa" w:w="5018"/>
          </w:tcPr>
          <w:p>
            <w:pPr>
              <w:spacing w:after="100"/>
            </w:pPr>
            <w:r>
              <w:rPr>
                <w:rFonts w:ascii="Consolas" w:hAnsi="Consolas"/>
                <w:sz w:val="20"/>
              </w:rPr>
              <w:t>team_contributions.md</w:t>
            </w:r>
          </w:p>
        </w:tc>
      </w:tr>
    </w:tbl>
    <w:p/>
    <w:p>
      <w:r>
        <w:t xml:space="preserve">The exact checklist is recorded in </w:t>
      </w:r>
      <w:r>
        <w:rPr>
          <w:rFonts w:ascii="Consolas" w:hAnsi="Consolas"/>
          <w:sz w:val="18"/>
        </w:rPr>
        <w:t>docs/final_submission_checklist.md</w:t>
      </w:r>
      <w:r>
        <w:t>. Technical package checks do not substitute for each member's rehearsal or understanding. There is no external clinical validation, verified patient grouping or prospective workflow-benefit measurement. Historical test results were already visible during project development; this is not a new independent external validation study. Clinician verification is required.</w:t>
      </w:r>
    </w:p>
    <w:sectPr w:rsidR="00FC693F" w:rsidRPr="0006063C" w:rsidSect="00034616">
      <w:headerReference w:type="default" r:id="rId9"/>
      <w:footerReference w:type="default" r:id="rId10"/>
      <w:pgSz w:w="11909" w:h="16834"/>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Technical Evidence &amp; Working Solution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Pulmonary Review Assistant | Technical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EB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EB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3EB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EB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https://github.com/mlmed/torchxrayvision/blob/master/torchxrayvision/models.py" TargetMode="External"/><Relationship Id="rId27" Type="http://schemas.openxmlformats.org/officeDocument/2006/relationships/hyperlink" Target="https://github.com/mlmed/torchxrayvision/blob/master/torchxrayvision/datasets.py" TargetMode="External"/><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Evidence &amp; Working Solution</dc:title>
  <dc:subject>Pulmonary Review Assistant — SIC technical evidence</dc:subject>
  <dc:creator>Pulmonary Review Assistant</dc:creator>
  <cp:keywords/>
  <dc:description>generated by python-docx</dc:description>
  <cp:lastModifiedBy>Pulmonary Review Assistant</cp:lastModifiedBy>
  <cp:revision>1</cp:revision>
  <dcterms:created xsi:type="dcterms:W3CDTF">2026-10-28T00:00:00Z</dcterms:created>
  <dcterms:modified xsi:type="dcterms:W3CDTF">2026-10-28T00:00:00Z</dcterms:modified>
  <cp:category/>
</cp:coreProperties>
</file>