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155B5"/>
          <w:spacing w:val="20"/>
          <w:sz w:val="21"/>
          <w:szCs w:val="21"/>
        </w:rPr>
        <w:t xml:space="preserve">AI AUTOMATION ENGINE FOR LEAD GENERATION</w:t>
      </w:r>
    </w:p>
    <w:p>
      <w:pPr>
        <w:spacing w:after="200"/>
      </w:pPr>
      <w:r>
        <w:rPr>
          <w:b/>
          <w:bCs/>
          <w:color w:val="121A33"/>
          <w:sz w:val="30"/>
          <w:szCs w:val="30"/>
        </w:rPr>
        <w:t xml:space="preserve">Project working document — concept, architecture, and build prompt</w:t>
      </w:r>
    </w:p>
    <w:p>
      <w:pPr>
        <w:spacing w:after="160" w:line="300"/>
      </w:pPr>
      <w:r>
        <w:rPr>
          <w:b/>
          <w:bCs/>
        </w:rPr>
        <w:t xml:space="preserve">Prepared for: </w:t>
      </w:r>
      <w:r>
        <w:t xml:space="preserve">Internship project — Development of an AI Automation Engine for Lead Generation</w:t>
      </w:r>
    </w:p>
    <w:p>
      <w:pPr>
        <w:spacing w:after="160" w:line="300"/>
      </w:pPr>
      <w:r>
        <w:rPr>
          <w:b/>
          <w:bCs/>
        </w:rPr>
        <w:t xml:space="preserve">Scope confirmed by manager: </w:t>
      </w:r>
      <w:r>
        <w:t xml:space="preserve">Google Sheets only for v1, no dashboard, no committed third-party API yet, lead-source research owned by intern.</w:t>
      </w:r>
    </w:p>
    <w:p>
      <w:pPr>
        <w:pBdr>
          <w:bottom w:val="single" w:color="D3D1C7" w:sz="6" w:space="1"/>
        </w:pBdr>
        <w:spacing w:after="200" w:before="200"/>
      </w:pPr>
    </w:p>
    <w:p>
      <w:pPr>
        <w:pStyle w:val="Heading1"/>
      </w:pPr>
      <w:r>
        <w:t xml:space="preserve">1. The idea, in plain terms</w:t>
      </w:r>
    </w:p>
    <w:p>
      <w:pPr>
        <w:spacing w:after="160" w:line="300"/>
      </w:pPr>
      <w:r>
        <w:t xml:space="preserve">This project builds a Google Sheet that finds good sales leads, scores them automatically using AI, checks that their email addresses are real, and prepares them for outreach — without anyone manually researching or qualifying leads by hand.</w:t>
      </w:r>
    </w:p>
    <w:p>
      <w:pPr>
        <w:spacing w:after="160" w:line="300"/>
      </w:pPr>
      <w:r>
        <w:t xml:space="preserve">Everything happens inside Google Workspace. There is no separate website, no separate database, and no login system for v1. The spreadsheet itself is the product.</w:t>
      </w:r>
    </w:p>
    <w:p>
      <w:pPr>
        <w:pStyle w:val="Heading3"/>
      </w:pPr>
      <w:r>
        <w:t xml:space="preserve">The one-line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47C" w:sz="4"/>
              <w:left w:val="single" w:color="0C447C" w:sz="24"/>
              <w:bottom w:val="single" w:color="0C447C" w:sz="4"/>
              <w:right w:val="single" w:color="0C447C" w:sz="4"/>
            </w:tcBorders>
            <w:shd w:fill="F7F8FB" w:val="clear"/>
            <w:tcMar>
              <w:top w:type="dxa" w:w="140"/>
              <w:left w:type="dxa" w:w="200"/>
              <w:bottom w:type="dxa" w:w="140"/>
              <w:right w:type="dxa" w:w="200"/>
            </w:tcMar>
          </w:tcPr>
          <w:p>
            <w:pPr>
              <w:spacing w:after="60"/>
            </w:pPr>
            <w:r>
              <w:rPr>
                <w:b/>
                <w:bCs/>
                <w:color w:val="0C447C"/>
                <w:sz w:val="21"/>
                <w:szCs w:val="21"/>
              </w:rPr>
              <w:t xml:space="preserve">Core idea:</w:t>
            </w:r>
          </w:p>
          <w:p>
            <w:pPr>
              <w:spacing w:after="0" w:line="300"/>
            </w:pPr>
            <w:r>
              <w:rPr>
                <w:color w:val="2C2C2A"/>
                <w:sz w:val="21"/>
                <w:szCs w:val="21"/>
              </w:rPr>
              <w:t xml:space="preserve">A spreadsheet that scores leads with AI based on revenue and funding signals, filters out bad email addresses, and flags the good ones as ready for outreach — built and tested first with a static sample dataset before any live data source is connected.</w:t>
            </w:r>
          </w:p>
        </w:tc>
      </w:tr>
    </w:tbl>
    <w:p>
      <w:pPr>
        <w:spacing w:after="160" w:line="300"/>
      </w:pPr>
      <w:r>
        <w:t xml:space="preserve"/>
      </w:r>
    </w:p>
    <w:p>
      <w:pPr>
        <w:pStyle w:val="Heading3"/>
      </w:pPr>
      <w:r>
        <w:t xml:space="preserve">Why Google Sheets and not a custom app</w:t>
      </w:r>
    </w:p>
    <w:p>
      <w:pPr>
        <w:pStyle w:val="ListParagraph"/>
        <w:numPr>
          <w:ilvl w:val="0"/>
          <w:numId w:val="2"/>
        </w:numPr>
        <w:spacing w:after="80" w:line="290"/>
      </w:pPr>
      <w:r>
        <w:t xml:space="preserve">The team already works inside Google Workspace daily — there is no adoption cost.</w:t>
      </w:r>
    </w:p>
    <w:p>
      <w:pPr>
        <w:pStyle w:val="ListParagraph"/>
        <w:numPr>
          <w:ilvl w:val="0"/>
          <w:numId w:val="2"/>
        </w:numPr>
        <w:spacing w:after="80" w:line="290"/>
      </w:pPr>
      <w:r>
        <w:t xml:space="preserve">No servers, hosting, or deployment needed for v1 — Apps Script runs inside Google's infrastructure.</w:t>
      </w:r>
    </w:p>
    <w:p>
      <w:pPr>
        <w:pStyle w:val="ListParagraph"/>
        <w:numPr>
          <w:ilvl w:val="0"/>
          <w:numId w:val="2"/>
        </w:numPr>
        <w:spacing w:after="80" w:line="290"/>
      </w:pPr>
      <w:r>
        <w:t xml:space="preserve">The manager explicitly scoped this down: “let's start with sheets only.” Building a dashboard now would be solving a problem nobody asked for yet.</w:t>
      </w:r>
    </w:p>
    <w:p>
      <w:pPr>
        <w:pStyle w:val="ListParagraph"/>
        <w:numPr>
          <w:ilvl w:val="0"/>
          <w:numId w:val="2"/>
        </w:numPr>
        <w:spacing w:after="80" w:line="290"/>
      </w:pPr>
      <w:r>
        <w:t xml:space="preserve">If volume or complexity grows later, the project can graduate to a real database (PostgreSQL) and dashboard — but that is a deliberate future step, not a v1 requirement.</w:t>
      </w:r>
    </w:p>
    <w:p>
      <w:pPr>
        <w:pStyle w:val="Heading1"/>
      </w:pPr>
      <w:r>
        <w:t xml:space="preserve">2. What changed from the original plan</w:t>
      </w:r>
    </w:p>
    <w:p>
      <w:pPr>
        <w:spacing w:after="160" w:line="300"/>
      </w:pPr>
      <w:r>
        <w:t xml:space="preserve">The original plan (before manager feedback) assumed a custom backend: FastAPI, PostgreSQL, Celery, Redis, SendGrid, and a React dashboard. After manager input and seeing the real sample dataset, the actual v1 scope is much smaller and more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Area</w:t>
            </w:r>
          </w:p>
        </w:tc>
        <w:tc>
          <w:tcPr>
            <w:tcW w:type="dxa" w:w="353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Original assumption</w:t>
            </w:r>
          </w:p>
        </w:tc>
        <w:tc>
          <w:tcPr>
            <w:tcW w:type="dxa" w:w="353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Actual v1 scope</w:t>
            </w:r>
          </w:p>
        </w:tc>
      </w:tr>
      <w:tr>
        <w:tc>
          <w:tcPr>
            <w:tcW w:type="dxa" w:w="2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Backend</w:t>
            </w:r>
          </w:p>
        </w:tc>
        <w:tc>
          <w:tcPr>
            <w:tcW w:type="dxa" w:w="353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FastAPI + PostgreSQL</w:t>
            </w:r>
          </w:p>
        </w:tc>
        <w:tc>
          <w:tcPr>
            <w:tcW w:type="dxa" w:w="353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Google Sheets + Apps Script</w:t>
            </w:r>
          </w:p>
        </w:tc>
      </w:tr>
      <w:tr>
        <w:tc>
          <w:tcPr>
            <w:tcW w:type="dxa" w:w="23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Lead source</w:t>
            </w:r>
          </w:p>
        </w:tc>
        <w:tc>
          <w:tcPr>
            <w:tcW w:type="dxa" w:w="353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Apollo/Hunter API integration</w:t>
            </w:r>
          </w:p>
        </w:tc>
        <w:tc>
          <w:tcPr>
            <w:tcW w:type="dxa" w:w="353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Static sample dataset first; live source is open research</w:t>
            </w:r>
          </w:p>
        </w:tc>
      </w:tr>
      <w:tr>
        <w:tc>
          <w:tcPr>
            <w:tcW w:type="dxa" w:w="2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Lead criteria</w:t>
            </w:r>
          </w:p>
        </w:tc>
        <w:tc>
          <w:tcPr>
            <w:tcW w:type="dxa" w:w="353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Generic ICP (title, industry)</w:t>
            </w:r>
          </w:p>
        </w:tc>
        <w:tc>
          <w:tcPr>
            <w:tcW w:type="dxa" w:w="353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Annual Revenue &gt; 5Cr, funding signals (from manager)</w:t>
            </w:r>
          </w:p>
        </w:tc>
      </w:tr>
      <w:tr>
        <w:tc>
          <w:tcPr>
            <w:tcW w:type="dxa" w:w="23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Email validation</w:t>
            </w:r>
          </w:p>
        </w:tc>
        <w:tc>
          <w:tcPr>
            <w:tcW w:type="dxa" w:w="353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Third-party verifier from scratch</w:t>
            </w:r>
          </w:p>
        </w:tc>
        <w:tc>
          <w:tcPr>
            <w:tcW w:type="dxa" w:w="353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Apollo's own confidence columns first, verifier only if needed</w:t>
            </w:r>
          </w:p>
        </w:tc>
      </w:tr>
      <w:tr>
        <w:tc>
          <w:tcPr>
            <w:tcW w:type="dxa" w:w="2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Dashboard</w:t>
            </w:r>
          </w:p>
        </w:tc>
        <w:tc>
          <w:tcPr>
            <w:tcW w:type="dxa" w:w="353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React + Recharts</w:t>
            </w:r>
          </w:p>
        </w:tc>
        <w:tc>
          <w:tcPr>
            <w:tcW w:type="dxa" w:w="353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None for v1 — sheet is the interface</w:t>
            </w:r>
          </w:p>
        </w:tc>
      </w:tr>
      <w:tr>
        <w:tc>
          <w:tcPr>
            <w:tcW w:type="dxa" w:w="23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Outreach</w:t>
            </w:r>
          </w:p>
        </w:tc>
        <w:tc>
          <w:tcPr>
            <w:tcW w:type="dxa" w:w="353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SendGrid + Celery scheduling</w:t>
            </w:r>
          </w:p>
        </w:tc>
        <w:tc>
          <w:tcPr>
            <w:tcW w:type="dxa" w:w="353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Gmail / Apps Script MailApp, time-driven triggers</w:t>
            </w:r>
          </w:p>
        </w:tc>
      </w:tr>
    </w:tbl>
    <w:p>
      <w:pPr>
        <w:spacing w:after="16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4"/>
              <w:left w:val="single" w:color="854F0B" w:sz="24"/>
              <w:bottom w:val="single" w:color="854F0B" w:sz="4"/>
              <w:right w:val="single" w:color="854F0B" w:sz="4"/>
            </w:tcBorders>
            <w:shd w:fill="F7F8FB" w:val="clear"/>
            <w:tcMar>
              <w:top w:type="dxa" w:w="140"/>
              <w:left w:type="dxa" w:w="200"/>
              <w:bottom w:type="dxa" w:w="140"/>
              <w:right w:type="dxa" w:w="200"/>
            </w:tcMar>
          </w:tcPr>
          <w:p>
            <w:pPr>
              <w:spacing w:after="60"/>
            </w:pPr>
            <w:r>
              <w:rPr>
                <w:b/>
                <w:bCs/>
                <w:color w:val="854F0B"/>
                <w:sz w:val="21"/>
                <w:szCs w:val="21"/>
              </w:rPr>
              <w:t xml:space="preserve">Important</w:t>
            </w:r>
          </w:p>
          <w:p>
            <w:pPr>
              <w:spacing w:after="0" w:line="300"/>
            </w:pPr>
            <w:r>
              <w:rPr>
                <w:color w:val="2C2C2A"/>
                <w:sz w:val="21"/>
                <w:szCs w:val="21"/>
              </w:rPr>
              <w:t xml:space="preserve">Hiring news was listed by the manager as a criterion, but the sample dataset has no column for it. This is a real gap to flag back, not something to quietly skip or fabricate.</w:t>
            </w:r>
          </w:p>
        </w:tc>
      </w:tr>
    </w:tbl>
    <w:p>
      <w:pPr>
        <w:pStyle w:val="Heading1"/>
      </w:pPr>
      <w:r>
        <w:t xml:space="preserve">3. The dataset you actually have</w:t>
      </w:r>
    </w:p>
    <w:p>
      <w:pPr>
        <w:spacing w:after="160" w:line="300"/>
      </w:pPr>
      <w:r>
        <w:t xml:space="preserve">The sample dataset shared by the manager is an Apollo.io export. Recognising this matters — Apollo-specific columns (email confidence, catch-all status) mean some of the work that looked hard in theory is already partly done.</w:t>
      </w:r>
    </w:p>
    <w:p>
      <w:pPr>
        <w:pStyle w:val="Heading3"/>
      </w:pPr>
      <w:r>
        <w:t xml:space="preserve">Columns present in the sample data</w:t>
      </w:r>
    </w:p>
    <w:p>
      <w:pPr>
        <w:spacing w:after="160" w:line="300"/>
      </w:pPr>
      <w:r>
        <w:rPr>
          <w:i/>
          <w:iCs/>
          <w:color w:val="5F5E5A"/>
          <w:sz w:val="19"/>
          <w:szCs w:val="19"/>
        </w:rPr>
        <w:t xml:space="preserve">First Name, Last Name, Title, Company, Company Name for Emails, Email, Email Status, Primary Email Source, Primary Email Verification Source, Email Confidence, Primary Email Catch-all Status, Primary Email Last Verified At, Seniority, Departments, Contact Owner, Work Direct Phone, Home Phone, Mobile Phone, Corporate Phone, Other Phone, Stage, Lists, Last Contacted, Account Owner, # Employees, Industry, Keywords, Person Linkedin Url, Website, Company Linkedin Url, Facebook Url, Twitter Url, City, State, Country, Company Address, Company City, Company State, Company Country, Company Phone, Technologies, Annual Revenue, Total Funding, Latest Funding, Latest Funding Amount, Last Raised At.</w:t>
      </w:r>
    </w:p>
    <w:p>
      <w:pPr>
        <w:pStyle w:val="Heading3"/>
      </w:pPr>
      <w:r>
        <w:t xml:space="preserve">Mapping manager's criteria to actual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Manager's criterion</w:t>
            </w:r>
          </w:p>
        </w:tc>
        <w:tc>
          <w:tcPr>
            <w:tcW w:type="dxa" w:w="450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Column(s) available</w:t>
            </w:r>
          </w:p>
        </w:tc>
        <w:tc>
          <w:tcPr>
            <w:tcW w:type="dxa" w:w="186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Status</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Revenue &gt; 5Cr</w:t>
            </w:r>
          </w:p>
        </w:tc>
        <w:tc>
          <w:tcPr>
            <w:tcW w:type="dxa" w:w="4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Annual Revenue</w:t>
            </w:r>
          </w:p>
        </w:tc>
        <w:tc>
          <w:tcPr>
            <w:tcW w:type="dxa" w:w="18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Directly usable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Funding news</w:t>
            </w:r>
          </w:p>
        </w:tc>
        <w:tc>
          <w:tcPr>
            <w:tcW w:type="dxa" w:w="4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Total Funding, Latest Funding, Latest Funding Amount, Last Raised At</w:t>
            </w:r>
          </w:p>
        </w:tc>
        <w:tc>
          <w:tcPr>
            <w:tcW w:type="dxa" w:w="186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Directly usable</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Hiring news</w:t>
            </w:r>
          </w:p>
        </w:tc>
        <w:tc>
          <w:tcPr>
            <w:tcW w:type="dxa" w:w="4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(none)</w:t>
            </w:r>
          </w:p>
        </w:tc>
        <w:tc>
          <w:tcPr>
            <w:tcW w:type="dxa" w:w="18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Gap — needs a separate source later</w:t>
            </w:r>
          </w:p>
        </w:tc>
      </w:tr>
    </w:tbl>
    <w:p>
      <w:pPr>
        <w:spacing w:after="160" w:line="300"/>
      </w:pPr>
      <w:r>
        <w:t xml:space="preserve"/>
      </w:r>
    </w:p>
    <w:p>
      <w:pPr>
        <w:pStyle w:val="Heading3"/>
      </w:pPr>
      <w:r>
        <w:t xml:space="preserve">Why this dataset is good news for email validation</w:t>
      </w:r>
    </w:p>
    <w:p>
      <w:pPr>
        <w:spacing w:after="160" w:line="300"/>
      </w:pPr>
      <w:r>
        <w:t xml:space="preserve">Apollo already ships its own data-quality signals on every row: Email Status (e.g. verified, guessed, unavailable), Email Confidence, and Primary Email Catch-all Status. This means v1 email validation does not require integrating a new third-party tool right away — it can start as a filter on columns that already exist.</w:t>
      </w:r>
    </w:p>
    <w:p>
      <w:pPr>
        <w:pStyle w:val="Heading1"/>
      </w:pPr>
      <w:r>
        <w:t xml:space="preserve">4. System architecture</w:t>
      </w:r>
    </w:p>
    <w:p>
      <w:pPr>
        <w:spacing w:after="160" w:line="300"/>
      </w:pPr>
      <w:r>
        <w:t xml:space="preserve">The system has three layers. Unlike the original plan, there is no backend server and no separate frontend — Google Sheets and Apps Script cover both roles.</w:t>
      </w:r>
    </w:p>
    <w:p>
      <w:pPr>
        <w:pStyle w:val="Heading2"/>
      </w:pPr>
      <w:r>
        <w:t xml:space="preserve">4.1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Layer</w:t>
            </w:r>
          </w:p>
        </w:tc>
        <w:tc>
          <w:tcPr>
            <w:tcW w:type="dxa" w:w="420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What lives here</w:t>
            </w:r>
          </w:p>
        </w:tc>
        <w:tc>
          <w:tcPr>
            <w:tcW w:type="dxa" w:w="296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Technology</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Data</w:t>
            </w:r>
          </w:p>
        </w:tc>
        <w:tc>
          <w:tcPr>
            <w:tcW w:type="dxa" w:w="4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Lead records, scores, status, validation results</w:t>
            </w:r>
          </w:p>
        </w:tc>
        <w:tc>
          <w:tcPr>
            <w:tcW w:type="dxa" w:w="29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Google Sheets (tabs: Leads, Config, Log)</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Logic</w:t>
            </w:r>
          </w:p>
        </w:tc>
        <w:tc>
          <w:tcPr>
            <w:tcW w:type="dxa" w:w="4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Scoring calls, validation checks, send logic, triggers</w:t>
            </w:r>
          </w:p>
        </w:tc>
        <w:tc>
          <w:tcPr>
            <w:tcW w:type="dxa" w:w="296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Google Apps Script (JavaScript bound to the sheet)</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External services</w:t>
            </w:r>
          </w:p>
        </w:tc>
        <w:tc>
          <w:tcPr>
            <w:tcW w:type="dxa" w:w="4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AI scoring, (optional) extra email verification, sending mail</w:t>
            </w:r>
          </w:p>
        </w:tc>
        <w:tc>
          <w:tcPr>
            <w:tcW w:type="dxa" w:w="29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OpenAI API, Gmail/Apps Script MailApp</w:t>
            </w:r>
          </w:p>
        </w:tc>
      </w:tr>
    </w:tbl>
    <w:p>
      <w:pPr>
        <w:spacing w:after="160" w:line="300"/>
      </w:pPr>
      <w:r>
        <w:t xml:space="preserve"/>
      </w:r>
    </w:p>
    <w:p>
      <w:pPr>
        <w:pStyle w:val="Heading2"/>
      </w:pPr>
      <w:r>
        <w:t xml:space="preserve">4.2 Sheet structure</w:t>
      </w:r>
    </w:p>
    <w:p>
      <w:pPr>
        <w:spacing w:after="160" w:line="300"/>
      </w:pPr>
      <w:r>
        <w:t xml:space="preserve">Recommended tabs inside the single Google Sheet:</w:t>
      </w:r>
    </w:p>
    <w:p>
      <w:pPr>
        <w:pStyle w:val="ListParagraph"/>
        <w:numPr>
          <w:ilvl w:val="0"/>
          <w:numId w:val="2"/>
        </w:numPr>
        <w:spacing w:after="80" w:line="290"/>
      </w:pPr>
      <w:r>
        <w:t xml:space="preserve">Leads — the main table. All original Apollo columns, plus new columns: Score, Score Reason, Validation Status, Outreach Status.</w:t>
      </w:r>
    </w:p>
    <w:p>
      <w:pPr>
        <w:pStyle w:val="ListParagraph"/>
        <w:numPr>
          <w:ilvl w:val="0"/>
          <w:numId w:val="2"/>
        </w:numPr>
        <w:spacing w:after="80" w:line="290"/>
      </w:pPr>
      <w:r>
        <w:t xml:space="preserve">Config — the Ideal Customer Profile thresholds (revenue cutoff, funding recency window) and the AI prompt template, kept separate from code so they can be tuned without editing scripts.</w:t>
      </w:r>
    </w:p>
    <w:p>
      <w:pPr>
        <w:pStyle w:val="ListParagraph"/>
        <w:numPr>
          <w:ilvl w:val="0"/>
          <w:numId w:val="2"/>
        </w:numPr>
        <w:spacing w:after="80" w:line="290"/>
      </w:pPr>
      <w:r>
        <w:t xml:space="preserve">Log — a simple run history: timestamp, number of rows processed, number scored, number flagged, any errors. Useful for debugging and for status updates to the manager.</w:t>
      </w:r>
    </w:p>
    <w:p>
      <w:pPr>
        <w:pStyle w:val="Heading2"/>
      </w:pPr>
      <w:r>
        <w:t xml:space="preserve">4.3 How the layers connect</w:t>
      </w:r>
    </w:p>
    <w:p>
      <w:pPr>
        <w:spacing w:after="160" w:line="300"/>
      </w:pPr>
      <w:r>
        <w:t xml:space="preserve">Apps Script is triggered either manually (a custom menu button, e.g. “Score new leads”) or on a schedule (a time-driven trigger, e.g. once daily). When triggered, it reads unprocessed rows from Leads, calls the OpenAI API for each one, writes the score and reason back into the same row, then evaluates the existing Apollo email-quality columns to set a Validation Status. Rows that pass both checks are marked Ready for outreach.</w:t>
      </w:r>
    </w:p>
    <w:p>
      <w:pPr>
        <w:pStyle w:val="Heading1"/>
      </w:pPr>
      <w:r>
        <w:t xml:space="preserve">5. How a single lead moves through the system</w:t>
      </w:r>
    </w:p>
    <w:p>
      <w:pPr>
        <w:spacing w:after="160" w:line="300"/>
      </w:pPr>
      <w:r>
        <w:t xml:space="preserve">This is the exact sequence for one row in the Leads tab, from raw data to an outreach-ready status.</w:t>
      </w:r>
    </w:p>
    <w:p>
      <w:pPr>
        <w:pStyle w:val="ListParagraph"/>
        <w:numPr>
          <w:ilvl w:val="0"/>
          <w:numId w:val="3"/>
        </w:numPr>
        <w:spacing w:after="100" w:line="290"/>
      </w:pPr>
      <w:r>
        <w:t xml:space="preserve">Row exists in the Leads tab (from the sample dataset, or later from a live source).</w:t>
      </w:r>
    </w:p>
    <w:p>
      <w:pPr>
        <w:pStyle w:val="ListParagraph"/>
        <w:numPr>
          <w:ilvl w:val="0"/>
          <w:numId w:val="3"/>
        </w:numPr>
        <w:spacing w:after="100" w:line="290"/>
      </w:pPr>
      <w:r>
        <w:t xml:space="preserve">Apps Script reads the row's Annual Revenue, Total Funding, Latest Funding, and Last Raised At fields.</w:t>
      </w:r>
    </w:p>
    <w:p>
      <w:pPr>
        <w:pStyle w:val="ListParagraph"/>
        <w:numPr>
          <w:ilvl w:val="0"/>
          <w:numId w:val="3"/>
        </w:numPr>
        <w:spacing w:after="100" w:line="290"/>
      </w:pPr>
      <w:r>
        <w:t xml:space="preserve">These fields are sent to the OpenAI API along with the Config tab's ICP thresholds. The model returns a score (1–10) and a one-line reason.</w:t>
      </w:r>
    </w:p>
    <w:p>
      <w:pPr>
        <w:pStyle w:val="ListParagraph"/>
        <w:numPr>
          <w:ilvl w:val="0"/>
          <w:numId w:val="3"/>
        </w:numPr>
        <w:spacing w:after="100" w:line="290"/>
      </w:pPr>
      <w:r>
        <w:t xml:space="preserve">The score is written back into the Score and Score Reason columns on that row.</w:t>
      </w:r>
    </w:p>
    <w:p>
      <w:pPr>
        <w:pStyle w:val="ListParagraph"/>
        <w:numPr>
          <w:ilvl w:val="0"/>
          <w:numId w:val="3"/>
        </w:numPr>
        <w:spacing w:after="100" w:line="290"/>
      </w:pPr>
      <w:r>
        <w:t xml:space="preserve">Decision point — if Score is below the qualifying threshold, the row is marked Low priority and the flow stops here for now.</w:t>
      </w:r>
    </w:p>
    <w:p>
      <w:pPr>
        <w:pStyle w:val="ListParagraph"/>
        <w:numPr>
          <w:ilvl w:val="0"/>
          <w:numId w:val="3"/>
        </w:numPr>
        <w:spacing w:after="100" w:line="290"/>
      </w:pPr>
      <w:r>
        <w:t xml:space="preserve">If the score qualifies, Apps Script checks the row's existing Email Status, Email Confidence, and Primary Email Catch-all Status columns.</w:t>
      </w:r>
    </w:p>
    <w:p>
      <w:pPr>
        <w:pStyle w:val="ListParagraph"/>
        <w:numPr>
          <w:ilvl w:val="0"/>
          <w:numId w:val="3"/>
        </w:numPr>
        <w:spacing w:after="100" w:line="290"/>
      </w:pPr>
      <w:r>
        <w:t xml:space="preserve">Decision point — if these indicate a risky or invalid address, the row is marked Flagged — not contacted, and stops here.</w:t>
      </w:r>
    </w:p>
    <w:p>
      <w:pPr>
        <w:pStyle w:val="ListParagraph"/>
        <w:numPr>
          <w:ilvl w:val="0"/>
          <w:numId w:val="3"/>
        </w:numPr>
        <w:spacing w:after="100" w:line="290"/>
      </w:pPr>
      <w:r>
        <w:t xml:space="preserve">If the email passes, the row is marked Ready for outreach. Sending itself (via GmailApp) is a later milestone, deliberately built after the scoring and validation logic is proven.</w:t>
      </w:r>
    </w:p>
    <w:p>
      <w:pPr>
        <w:spacing w:after="16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F7F8FB" w:val="clear"/>
            <w:tcMar>
              <w:top w:type="dxa" w:w="140"/>
              <w:left w:type="dxa" w:w="200"/>
              <w:bottom w:type="dxa" w:w="140"/>
              <w:right w:type="dxa" w:w="200"/>
            </w:tcMar>
          </w:tcPr>
          <w:p>
            <w:pPr>
              <w:spacing w:after="60"/>
            </w:pPr>
            <w:r>
              <w:rPr>
                <w:b/>
                <w:bCs/>
                <w:color w:val="0F6E56"/>
                <w:sz w:val="21"/>
                <w:szCs w:val="21"/>
              </w:rPr>
              <w:t xml:space="preserve">Why two decision points</w:t>
            </w:r>
          </w:p>
          <w:p>
            <w:pPr>
              <w:spacing w:after="0" w:line="300"/>
            </w:pPr>
            <w:r>
              <w:rPr>
                <w:color w:val="2C2C2A"/>
                <w:sz w:val="21"/>
                <w:szCs w:val="21"/>
              </w:rPr>
              <w:t xml:space="preserve">The score gate keeps you from spending effort (and risking inbox reputation) on weak-fit leads. The email-quality gate keeps you from sending to addresses likely to bounce, which is the specific risk the manager flagged — bad sends can get a sending domain blacklisted.</w:t>
            </w:r>
          </w:p>
        </w:tc>
      </w:tr>
    </w:tbl>
    <w:p>
      <w:pPr>
        <w:pStyle w:val="Heading1"/>
      </w:pPr>
      <w:r>
        <w:t xml:space="preserve">6. AI scoring logic in detail</w:t>
      </w:r>
    </w:p>
    <w:p>
      <w:pPr>
        <w:spacing w:after="160" w:line="300"/>
      </w:pPr>
      <w:r>
        <w:t xml:space="preserve">The scoring prompt should be grounded in the two confirmed criteria, written so the model returns a clean, parseable result every time.</w:t>
      </w:r>
    </w:p>
    <w:p>
      <w:pPr>
        <w:pStyle w:val="Heading3"/>
      </w:pPr>
      <w:r>
        <w:t xml:space="preserve">Prompt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2155B5" w:sz="24"/>
              <w:bottom w:val="single" w:color="D3D1C7" w:sz="4"/>
              <w:right w:val="single" w:color="D3D1C7" w:sz="4"/>
            </w:tcBorders>
            <w:shd w:fill="F1EFE8" w:val="clear"/>
            <w:tcMar>
              <w:top w:type="dxa" w:w="160"/>
              <w:left w:type="dxa" w:w="200"/>
              <w:bottom w:type="dxa" w:w="160"/>
              <w:right w:type="dxa" w:w="200"/>
            </w:tcMar>
          </w:tcPr>
          <w:p>
            <w:pPr>
              <w:spacing w:after="40" w:line="260"/>
            </w:pPr>
            <w:r>
              <w:rPr>
                <w:rFonts w:ascii="Consolas" w:cs="Consolas" w:eastAsia="Consolas" w:hAnsi="Consolas"/>
                <w:color w:val="2C2C2A"/>
                <w:sz w:val="18"/>
                <w:szCs w:val="18"/>
              </w:rPr>
              <w:t xml:space="preserve">You are a B2B lead qualification assistant.</w:t>
            </w:r>
          </w:p>
          <w:p>
            <w:pPr>
              <w:spacing w:after="40" w:line="260"/>
            </w:pPr>
            <w:r>
              <w:rPr>
                <w:rFonts w:ascii="Consolas" w:cs="Consolas" w:eastAsia="Consolas" w:hAnsi="Consolas"/>
                <w:color w:val="2C2C2A"/>
                <w:sz w:val="18"/>
                <w:szCs w:val="18"/>
              </w:rPr>
              <w:t xml:space="preserve"/>
            </w:r>
          </w:p>
          <w:p>
            <w:pPr>
              <w:spacing w:after="40" w:line="260"/>
            </w:pPr>
            <w:r>
              <w:rPr>
                <w:rFonts w:ascii="Consolas" w:cs="Consolas" w:eastAsia="Consolas" w:hAnsi="Consolas"/>
                <w:color w:val="2C2C2A"/>
                <w:sz w:val="18"/>
                <w:szCs w:val="18"/>
              </w:rPr>
              <w:t xml:space="preserve">Qualification criteria:</w:t>
            </w:r>
          </w:p>
          <w:p>
            <w:pPr>
              <w:spacing w:after="40" w:line="260"/>
            </w:pPr>
            <w:r>
              <w:rPr>
                <w:rFonts w:ascii="Consolas" w:cs="Consolas" w:eastAsia="Consolas" w:hAnsi="Consolas"/>
                <w:color w:val="2C2C2A"/>
                <w:sz w:val="18"/>
                <w:szCs w:val="18"/>
              </w:rPr>
              <w:t xml:space="preserve">- Annual Revenue greater than 5,00,00,000 INR (5 Crore) is a strong positive signal.</w:t>
            </w:r>
          </w:p>
          <w:p>
            <w:pPr>
              <w:spacing w:after="40" w:line="260"/>
            </w:pPr>
            <w:r>
              <w:rPr>
                <w:rFonts w:ascii="Consolas" w:cs="Consolas" w:eastAsia="Consolas" w:hAnsi="Consolas"/>
                <w:color w:val="2C2C2A"/>
                <w:sz w:val="18"/>
                <w:szCs w:val="18"/>
              </w:rPr>
              <w:t xml:space="preserve">- Any funding event (Total Funding, Latest Funding, Latest Funding Amount, Last</w:t>
            </w:r>
          </w:p>
          <w:p>
            <w:pPr>
              <w:spacing w:after="40" w:line="260"/>
            </w:pPr>
            <w:r>
              <w:rPr>
                <w:rFonts w:ascii="Consolas" w:cs="Consolas" w:eastAsia="Consolas" w:hAnsi="Consolas"/>
                <w:color w:val="2C2C2A"/>
                <w:sz w:val="18"/>
                <w:szCs w:val="18"/>
              </w:rPr>
              <w:t xml:space="preserve">  Raised At) within the last 12 months is a strong positive signal.</w:t>
            </w:r>
          </w:p>
          <w:p>
            <w:pPr>
              <w:spacing w:after="40" w:line="260"/>
            </w:pPr>
            <w:r>
              <w:rPr>
                <w:rFonts w:ascii="Consolas" w:cs="Consolas" w:eastAsia="Consolas" w:hAnsi="Consolas"/>
                <w:color w:val="2C2C2A"/>
                <w:sz w:val="18"/>
                <w:szCs w:val="18"/>
              </w:rPr>
              <w:t xml:space="preserve">- Absence of both signals is a negative signal, but does not automatically disqualify.</w:t>
            </w:r>
          </w:p>
          <w:p>
            <w:pPr>
              <w:spacing w:after="40" w:line="260"/>
            </w:pPr>
            <w:r>
              <w:rPr>
                <w:rFonts w:ascii="Consolas" w:cs="Consolas" w:eastAsia="Consolas" w:hAnsi="Consolas"/>
                <w:color w:val="2C2C2A"/>
                <w:sz w:val="18"/>
                <w:szCs w:val="18"/>
              </w:rPr>
              <w:t xml:space="preserve"/>
            </w:r>
          </w:p>
          <w:p>
            <w:pPr>
              <w:spacing w:after="40" w:line="260"/>
            </w:pPr>
            <w:r>
              <w:rPr>
                <w:rFonts w:ascii="Consolas" w:cs="Consolas" w:eastAsia="Consolas" w:hAnsi="Consolas"/>
                <w:color w:val="2C2C2A"/>
                <w:sz w:val="18"/>
                <w:szCs w:val="18"/>
              </w:rPr>
              <w:t xml:space="preserve">Lead data:</w:t>
            </w:r>
          </w:p>
          <w:p>
            <w:pPr>
              <w:spacing w:after="40" w:line="260"/>
            </w:pPr>
            <w:r>
              <w:rPr>
                <w:rFonts w:ascii="Consolas" w:cs="Consolas" w:eastAsia="Consolas" w:hAnsi="Consolas"/>
                <w:color w:val="2C2C2A"/>
                <w:sz w:val="18"/>
                <w:szCs w:val="18"/>
              </w:rPr>
              <w:t xml:space="preserve">Company: {Company}</w:t>
            </w:r>
          </w:p>
          <w:p>
            <w:pPr>
              <w:spacing w:after="40" w:line="260"/>
            </w:pPr>
            <w:r>
              <w:rPr>
                <w:rFonts w:ascii="Consolas" w:cs="Consolas" w:eastAsia="Consolas" w:hAnsi="Consolas"/>
                <w:color w:val="2C2C2A"/>
                <w:sz w:val="18"/>
                <w:szCs w:val="18"/>
              </w:rPr>
              <w:t xml:space="preserve">Annual Revenue: {Annual Revenue}</w:t>
            </w:r>
          </w:p>
          <w:p>
            <w:pPr>
              <w:spacing w:after="40" w:line="260"/>
            </w:pPr>
            <w:r>
              <w:rPr>
                <w:rFonts w:ascii="Consolas" w:cs="Consolas" w:eastAsia="Consolas" w:hAnsi="Consolas"/>
                <w:color w:val="2C2C2A"/>
                <w:sz w:val="18"/>
                <w:szCs w:val="18"/>
              </w:rPr>
              <w:t xml:space="preserve">Total Funding: {Total Funding}</w:t>
            </w:r>
          </w:p>
          <w:p>
            <w:pPr>
              <w:spacing w:after="40" w:line="260"/>
            </w:pPr>
            <w:r>
              <w:rPr>
                <w:rFonts w:ascii="Consolas" w:cs="Consolas" w:eastAsia="Consolas" w:hAnsi="Consolas"/>
                <w:color w:val="2C2C2A"/>
                <w:sz w:val="18"/>
                <w:szCs w:val="18"/>
              </w:rPr>
              <w:t xml:space="preserve">Latest Funding: {Latest Funding}</w:t>
            </w:r>
          </w:p>
          <w:p>
            <w:pPr>
              <w:spacing w:after="40" w:line="260"/>
            </w:pPr>
            <w:r>
              <w:rPr>
                <w:rFonts w:ascii="Consolas" w:cs="Consolas" w:eastAsia="Consolas" w:hAnsi="Consolas"/>
                <w:color w:val="2C2C2A"/>
                <w:sz w:val="18"/>
                <w:szCs w:val="18"/>
              </w:rPr>
              <w:t xml:space="preserve">Latest Funding Amount: {Latest Funding Amount}</w:t>
            </w:r>
          </w:p>
          <w:p>
            <w:pPr>
              <w:spacing w:after="40" w:line="260"/>
            </w:pPr>
            <w:r>
              <w:rPr>
                <w:rFonts w:ascii="Consolas" w:cs="Consolas" w:eastAsia="Consolas" w:hAnsi="Consolas"/>
                <w:color w:val="2C2C2A"/>
                <w:sz w:val="18"/>
                <w:szCs w:val="18"/>
              </w:rPr>
              <w:t xml:space="preserve">Last Raised At: {Last Raised At}</w:t>
            </w:r>
          </w:p>
          <w:p>
            <w:pPr>
              <w:spacing w:after="40" w:line="260"/>
            </w:pPr>
            <w:r>
              <w:rPr>
                <w:rFonts w:ascii="Consolas" w:cs="Consolas" w:eastAsia="Consolas" w:hAnsi="Consolas"/>
                <w:color w:val="2C2C2A"/>
                <w:sz w:val="18"/>
                <w:szCs w:val="18"/>
              </w:rPr>
              <w:t xml:space="preserve"/>
            </w:r>
          </w:p>
          <w:p>
            <w:pPr>
              <w:spacing w:after="40" w:line="260"/>
            </w:pPr>
            <w:r>
              <w:rPr>
                <w:rFonts w:ascii="Consolas" w:cs="Consolas" w:eastAsia="Consolas" w:hAnsi="Consolas"/>
                <w:color w:val="2C2C2A"/>
                <w:sz w:val="18"/>
                <w:szCs w:val="18"/>
              </w:rPr>
              <w:t xml:space="preserve">Respond ONLY with JSON:</w:t>
            </w:r>
          </w:p>
          <w:p>
            <w:pPr>
              <w:spacing w:after="40" w:line="260"/>
            </w:pPr>
            <w:r>
              <w:rPr>
                <w:rFonts w:ascii="Consolas" w:cs="Consolas" w:eastAsia="Consolas" w:hAnsi="Consolas"/>
                <w:color w:val="2C2C2A"/>
                <w:sz w:val="18"/>
                <w:szCs w:val="18"/>
              </w:rPr>
              <w:t xml:space="preserve">{"score": &lt;1-10 integer&gt;, "category": "qualified|nurture|disqualified",</w:t>
            </w:r>
          </w:p>
          <w:p>
            <w:pPr>
              <w:spacing w:after="40" w:line="260"/>
            </w:pPr>
            <w:r>
              <w:rPr>
                <w:rFonts w:ascii="Consolas" w:cs="Consolas" w:eastAsia="Consolas" w:hAnsi="Consolas"/>
                <w:color w:val="2C2C2A"/>
                <w:sz w:val="18"/>
                <w:szCs w:val="18"/>
              </w:rPr>
              <w:t xml:space="preserve"> "reason": "&lt;one sentence&gt;"}</w:t>
            </w:r>
          </w:p>
        </w:tc>
      </w:tr>
    </w:tbl>
    <w:p>
      <w:pPr>
        <w:pStyle w:val="Heading3"/>
      </w:pPr>
      <w:r>
        <w:t xml:space="preserve">Score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Score range</w:t>
            </w:r>
          </w:p>
        </w:tc>
        <w:tc>
          <w:tcPr>
            <w:tcW w:type="dxa" w:w="230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Category</w:t>
            </w:r>
          </w:p>
        </w:tc>
        <w:tc>
          <w:tcPr>
            <w:tcW w:type="dxa" w:w="476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What happens next</w:t>
            </w:r>
          </w:p>
        </w:tc>
      </w:tr>
      <w:tr>
        <w:tc>
          <w:tcPr>
            <w:tcW w:type="dxa" w:w="2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8 – 10</w:t>
            </w:r>
          </w:p>
        </w:tc>
        <w:tc>
          <w:tcPr>
            <w:tcW w:type="dxa" w:w="2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Qualified</w:t>
            </w:r>
          </w:p>
        </w:tc>
        <w:tc>
          <w:tcPr>
            <w:tcW w:type="dxa" w:w="4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Proceeds to email validation check</w:t>
            </w:r>
          </w:p>
        </w:tc>
      </w:tr>
      <w:tr>
        <w:tc>
          <w:tcPr>
            <w:tcW w:type="dxa" w:w="23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4 – 7</w:t>
            </w:r>
          </w:p>
        </w:tc>
        <w:tc>
          <w:tcPr>
            <w:tcW w:type="dxa" w:w="23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Nurture</w:t>
            </w:r>
          </w:p>
        </w:tc>
        <w:tc>
          <w:tcPr>
            <w:tcW w:type="dxa" w:w="476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Held for a slower follow-up list, not sent immediately</w:t>
            </w:r>
          </w:p>
        </w:tc>
      </w:tr>
      <w:tr>
        <w:tc>
          <w:tcPr>
            <w:tcW w:type="dxa" w:w="2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1 – 3</w:t>
            </w:r>
          </w:p>
        </w:tc>
        <w:tc>
          <w:tcPr>
            <w:tcW w:type="dxa" w:w="23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Disqualified</w:t>
            </w:r>
          </w:p>
        </w:tc>
        <w:tc>
          <w:tcPr>
            <w:tcW w:type="dxa" w:w="47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Marked low priority, no further action</w:t>
            </w:r>
          </w:p>
        </w:tc>
      </w:tr>
    </w:tbl>
    <w:p>
      <w:pPr>
        <w:spacing w:after="160" w:line="300"/>
      </w:pPr>
      <w:r>
        <w:t xml:space="preserve"/>
      </w:r>
    </w:p>
    <w:p>
      <w:pPr>
        <w:spacing w:after="160" w:line="300"/>
      </w:pPr>
      <w:r>
        <w:t xml:space="preserve">Low temperature (around 0.2) should be used in the API call so that the same lead profile produces a consistent score across runs, rather than fluctuating randomly.</w:t>
      </w:r>
    </w:p>
    <w:p>
      <w:pPr>
        <w:pStyle w:val="Heading1"/>
      </w:pPr>
      <w:r>
        <w:t xml:space="preserve">7. Email validation logic in detail</w:t>
      </w:r>
    </w:p>
    <w:p>
      <w:pPr>
        <w:spacing w:after="160" w:line="300"/>
      </w:pPr>
      <w:r>
        <w:t xml:space="preserve">Since the dataset already includes Apollo's own confidence fields, v1 validation is a filtering rule, not a new integration.</w:t>
      </w:r>
    </w:p>
    <w:p>
      <w:pPr>
        <w:pStyle w:val="Heading3"/>
      </w:pPr>
      <w:r>
        <w:t xml:space="preserve">v1 rule (no new tool required)</w:t>
      </w:r>
    </w:p>
    <w:p>
      <w:pPr>
        <w:pStyle w:val="ListParagraph"/>
        <w:numPr>
          <w:ilvl w:val="0"/>
          <w:numId w:val="2"/>
        </w:numPr>
        <w:spacing w:after="80" w:line="290"/>
      </w:pPr>
      <w:r>
        <w:t xml:space="preserve">Treat the row as valid if Email Status indicates a verified/deliverable result.</w:t>
      </w:r>
    </w:p>
    <w:p>
      <w:pPr>
        <w:pStyle w:val="ListParagraph"/>
        <w:numPr>
          <w:ilvl w:val="0"/>
          <w:numId w:val="2"/>
        </w:numPr>
        <w:spacing w:after="80" w:line="290"/>
      </w:pPr>
      <w:r>
        <w:t xml:space="preserve">Treat the row as risky if Primary Email Catch-all Status indicates the domain accepts all addresses (these are harder to trust and more likely to bounce).</w:t>
      </w:r>
    </w:p>
    <w:p>
      <w:pPr>
        <w:pStyle w:val="ListParagraph"/>
        <w:numPr>
          <w:ilvl w:val="0"/>
          <w:numId w:val="2"/>
        </w:numPr>
        <w:spacing w:after="80" w:line="290"/>
      </w:pPr>
      <w:r>
        <w:t xml:space="preserve">Treat the row as risky if Email Confidence falls below a chosen threshold (to be tuned once real score distributions are visible in the sample data).</w:t>
      </w:r>
    </w:p>
    <w:p>
      <w:pPr>
        <w:pStyle w:val="Heading3"/>
      </w:pPr>
      <w:r>
        <w:t xml:space="preserve">v2 option (only if needed later)</w:t>
      </w:r>
    </w:p>
    <w:p>
      <w:pPr>
        <w:spacing w:after="160" w:line="300"/>
      </w:pPr>
      <w:r>
        <w:t xml:space="preserve">If a meaningful share of leads in a future, larger or non-Apollo dataset lack reliable status fields, a dedicated verification API (such as ZeroBounce or NeverBounce) can be added as a second-pass check, called only on the rows Apollo itself marks as uncertain — keeping cost low.</w:t>
      </w:r>
    </w:p>
    <w:p>
      <w:pPr>
        <w:pStyle w:val="Heading1"/>
      </w:pPr>
      <w:r>
        <w:t xml:space="preserve">8. Build order — do this in sequence</w:t>
      </w:r>
    </w:p>
    <w:p>
      <w:pPr>
        <w:spacing w:after="160" w:line="300"/>
      </w:pPr>
      <w:r>
        <w:t xml:space="preserve">Each step should be working and demoable before starting the next. This is a deliberate, layered approach so problems are caught early and small.</w:t>
      </w:r>
    </w:p>
    <w:p>
      <w:pPr>
        <w:pStyle w:val="ListParagraph"/>
        <w:numPr>
          <w:ilvl w:val="0"/>
          <w:numId w:val="4"/>
        </w:numPr>
        <w:spacing w:after="100" w:line="290"/>
      </w:pPr>
      <w:r>
        <w:t xml:space="preserve">Set up the sheet. Paste the sample dataset into a Leads tab. Add empty columns: Score, Score Reason, Validation Status, Outreach Status. Create the Config tab with ICP thresholds.</w:t>
      </w:r>
    </w:p>
    <w:p>
      <w:pPr>
        <w:pStyle w:val="ListParagraph"/>
        <w:numPr>
          <w:ilvl w:val="0"/>
          <w:numId w:val="4"/>
        </w:numPr>
        <w:spacing w:after="100" w:line="290"/>
      </w:pPr>
      <w:r>
        <w:t xml:space="preserve">Write the scoring function. An Apps Script function that loops through unscored rows, builds the prompt from the row's revenue/funding fields, calls the OpenAI API via UrlFetchApp, parses the JSON response, and writes Score and Score Reason back.</w:t>
      </w:r>
    </w:p>
    <w:p>
      <w:pPr>
        <w:pStyle w:val="ListParagraph"/>
        <w:numPr>
          <w:ilvl w:val="0"/>
          <w:numId w:val="4"/>
        </w:numPr>
        <w:spacing w:after="100" w:line="290"/>
      </w:pPr>
      <w:r>
        <w:t xml:space="preserve">Add the email quality filter. A second function (or extension of the first) that reads the existing Apollo columns and sets Validation Status to Ready, Risky, or Flagged.</w:t>
      </w:r>
    </w:p>
    <w:p>
      <w:pPr>
        <w:pStyle w:val="ListParagraph"/>
        <w:numPr>
          <w:ilvl w:val="0"/>
          <w:numId w:val="4"/>
        </w:numPr>
        <w:spacing w:after="100" w:line="290"/>
      </w:pPr>
      <w:r>
        <w:t xml:space="preserve">Run it end to end against the full sample dataset. Review the output row by row. Look specifically for: rows with missing revenue/funding data, unexpected score clustering, and any email-status edge cases.</w:t>
      </w:r>
    </w:p>
    <w:p>
      <w:pPr>
        <w:pStyle w:val="ListParagraph"/>
        <w:numPr>
          <w:ilvl w:val="0"/>
          <w:numId w:val="4"/>
        </w:numPr>
        <w:spacing w:after="100" w:line="290"/>
      </w:pPr>
      <w:r>
        <w:t xml:space="preserve">Report back to the manager with concrete findings (e.g. “X% of sample leads qualified, Y% were flagged on email risk”), flag the hiring-news gap, and only then begin the lead-sourcing API research that was assigned as open homework.</w:t>
      </w:r>
    </w:p>
    <w:p>
      <w:pPr>
        <w:spacing w:after="16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47C" w:sz="4"/>
              <w:left w:val="single" w:color="0C447C" w:sz="24"/>
              <w:bottom w:val="single" w:color="0C447C" w:sz="4"/>
              <w:right w:val="single" w:color="0C447C" w:sz="4"/>
            </w:tcBorders>
            <w:shd w:fill="F7F8FB" w:val="clear"/>
            <w:tcMar>
              <w:top w:type="dxa" w:w="140"/>
              <w:left w:type="dxa" w:w="200"/>
              <w:bottom w:type="dxa" w:w="140"/>
              <w:right w:type="dxa" w:w="200"/>
            </w:tcMar>
          </w:tcPr>
          <w:p>
            <w:pPr>
              <w:spacing w:after="60"/>
            </w:pPr>
            <w:r>
              <w:rPr>
                <w:b/>
                <w:bCs/>
                <w:color w:val="0C447C"/>
                <w:sz w:val="21"/>
                <w:szCs w:val="21"/>
              </w:rPr>
              <w:t xml:space="preserve">Rule to follow throughout</w:t>
            </w:r>
          </w:p>
          <w:p>
            <w:pPr>
              <w:spacing w:after="0" w:line="300"/>
            </w:pPr>
            <w:r>
              <w:rPr>
                <w:color w:val="2C2C2A"/>
                <w:sz w:val="21"/>
                <w:szCs w:val="21"/>
              </w:rPr>
              <w:t xml:space="preserve">Do not start step 2 until step 1 is verifiably working. Do not start researching live lead sources until steps 1–4 are proven on the static sample data. This mirrors exactly what the manager asked for: prove it with static data first.</w:t>
            </w:r>
          </w:p>
        </w:tc>
      </w:tr>
    </w:tbl>
    <w:p>
      <w:pPr>
        <w:pStyle w:val="Heading1"/>
      </w:pPr>
      <w:r>
        <w:t xml:space="preserve">9. Tech stack — final v1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Layer</w:t>
            </w:r>
          </w:p>
        </w:tc>
        <w:tc>
          <w:tcPr>
            <w:tcW w:type="dxa" w:w="336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Tool</w:t>
            </w:r>
          </w:p>
        </w:tc>
        <w:tc>
          <w:tcPr>
            <w:tcW w:type="dxa" w:w="3600"/>
            <w:tcBorders>
              <w:top w:val="single" w:color="D3D1C7" w:sz="4"/>
              <w:left w:val="single" w:color="D3D1C7" w:sz="4"/>
              <w:bottom w:val="single" w:color="D3D1C7" w:sz="4"/>
              <w:right w:val="single" w:color="D3D1C7" w:sz="4"/>
            </w:tcBorders>
            <w:shd w:fill="1B2747" w:val="clear"/>
            <w:tcMar>
              <w:top w:type="dxa" w:w="80"/>
              <w:left w:type="dxa" w:w="140"/>
              <w:bottom w:type="dxa" w:w="80"/>
              <w:right w:type="dxa" w:w="140"/>
            </w:tcMar>
            <w:vAlign w:val="center"/>
          </w:tcPr>
          <w:p>
            <w:r>
              <w:rPr>
                <w:b/>
                <w:bCs/>
                <w:color w:val="FFFFFF"/>
                <w:sz w:val="19"/>
                <w:szCs w:val="19"/>
              </w:rPr>
              <w:t xml:space="preserve">Notes</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Data store / UI</w:t>
            </w:r>
          </w:p>
        </w:tc>
        <w:tc>
          <w:tcPr>
            <w:tcW w:type="dxa" w:w="3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Google Sheets</w:t>
            </w:r>
          </w:p>
        </w:tc>
        <w:tc>
          <w:tcPr>
            <w:tcW w:type="dxa" w:w="3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System of record, confirmed by manager</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Automation logic</w:t>
            </w:r>
          </w:p>
        </w:tc>
        <w:tc>
          <w:tcPr>
            <w:tcW w:type="dxa" w:w="336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Google Apps Script</w:t>
            </w:r>
          </w:p>
        </w:tc>
        <w:tc>
          <w:tcPr>
            <w:tcW w:type="dxa" w:w="3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Triggers, API calls, writing results back</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AI scoring</w:t>
            </w:r>
          </w:p>
        </w:tc>
        <w:tc>
          <w:tcPr>
            <w:tcW w:type="dxa" w:w="3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OpenAI API (GPT-4o-mini)</w:t>
            </w:r>
          </w:p>
        </w:tc>
        <w:tc>
          <w:tcPr>
            <w:tcW w:type="dxa" w:w="3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JSON-mode response, low temperature for consistency</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Email quality (v1)</w:t>
            </w:r>
          </w:p>
        </w:tc>
        <w:tc>
          <w:tcPr>
            <w:tcW w:type="dxa" w:w="336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Apollo's existing columns</w:t>
            </w:r>
          </w:p>
        </w:tc>
        <w:tc>
          <w:tcPr>
            <w:tcW w:type="dxa" w:w="3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No new integration needed yet</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Email quality (v2, if needed)</w:t>
            </w:r>
          </w:p>
        </w:tc>
        <w:tc>
          <w:tcPr>
            <w:tcW w:type="dxa" w:w="3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ZeroBounce / NeverBounce API</w:t>
            </w:r>
          </w:p>
        </w:tc>
        <w:tc>
          <w:tcPr>
            <w:tcW w:type="dxa" w:w="3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Only for rows Apollo marks uncertain</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Sending (later milestone)</w:t>
            </w:r>
          </w:p>
        </w:tc>
        <w:tc>
          <w:tcPr>
            <w:tcW w:type="dxa" w:w="336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GmailApp / Gmail API</w:t>
            </w:r>
          </w:p>
        </w:tc>
        <w:tc>
          <w:tcPr>
            <w:tcW w:type="dxa" w:w="3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color w:val="2C2C2A"/>
                <w:sz w:val="19"/>
                <w:szCs w:val="19"/>
              </w:rPr>
              <w:t xml:space="preserve">Native to Workspace, no SendGrid needed</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Scheduling</w:t>
            </w:r>
          </w:p>
        </w:tc>
        <w:tc>
          <w:tcPr>
            <w:tcW w:type="dxa" w:w="336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Apps Script time-driven triggers</w:t>
            </w:r>
          </w:p>
        </w:tc>
        <w:tc>
          <w:tcPr>
            <w:tcW w:type="dxa" w:w="3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color w:val="2C2C2A"/>
                <w:sz w:val="19"/>
                <w:szCs w:val="19"/>
              </w:rPr>
              <w:t xml:space="preserve">Built-in, no Celery/Redis required</w:t>
            </w:r>
          </w:p>
        </w:tc>
      </w:tr>
    </w:tbl>
    <w:p>
      <w:pPr>
        <w:spacing w:after="16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4"/>
              <w:left w:val="single" w:color="854F0B" w:sz="24"/>
              <w:bottom w:val="single" w:color="854F0B" w:sz="4"/>
              <w:right w:val="single" w:color="854F0B" w:sz="4"/>
            </w:tcBorders>
            <w:shd w:fill="F7F8FB" w:val="clear"/>
            <w:tcMar>
              <w:top w:type="dxa" w:w="140"/>
              <w:left w:type="dxa" w:w="200"/>
              <w:bottom w:type="dxa" w:w="140"/>
              <w:right w:type="dxa" w:w="200"/>
            </w:tcMar>
          </w:tcPr>
          <w:p>
            <w:pPr>
              <w:spacing w:after="60"/>
            </w:pPr>
            <w:r>
              <w:rPr>
                <w:b/>
                <w:bCs/>
                <w:color w:val="854F0B"/>
                <w:sz w:val="21"/>
                <w:szCs w:val="21"/>
              </w:rPr>
              <w:t xml:space="preserve">On automation tools like n8n</w:t>
            </w:r>
          </w:p>
          <w:p>
            <w:pPr>
              <w:spacing w:after="0" w:line="300"/>
            </w:pPr>
            <w:r>
              <w:rPr>
                <w:color w:val="2C2C2A"/>
                <w:sz w:val="21"/>
                <w:szCs w:val="21"/>
              </w:rPr>
              <w:t xml:space="preserve">Not needed for v1. The pipeline only touches one external API (OpenAI) from one platform (Sheets). Apps Script triggers already provide full automation. Revisit only if the project later involves three or more external services that need visual orchestration.</w:t>
            </w:r>
          </w:p>
        </w:tc>
      </w:tr>
    </w:tbl>
    <w:p>
      <w:pPr>
        <w:pStyle w:val="Heading1"/>
      </w:pPr>
      <w:r>
        <w:t xml:space="preserve">10. Open items — explicitly not yet solved</w:t>
      </w:r>
    </w:p>
    <w:p>
      <w:pPr>
        <w:pStyle w:val="ListParagraph"/>
        <w:numPr>
          <w:ilvl w:val="0"/>
          <w:numId w:val="2"/>
        </w:numPr>
        <w:spacing w:after="80" w:line="290"/>
      </w:pPr>
      <w:r>
        <w:t xml:space="preserve">Lead sourcing API — Apollo, Hunter, or another provider has not been chosen. This is the intern's assigned research task; a short comparison should be brought back to the manager.</w:t>
      </w:r>
    </w:p>
    <w:p>
      <w:pPr>
        <w:pStyle w:val="ListParagraph"/>
        <w:numPr>
          <w:ilvl w:val="0"/>
          <w:numId w:val="2"/>
        </w:numPr>
        <w:spacing w:after="80" w:line="290"/>
      </w:pPr>
      <w:r>
        <w:t xml:space="preserve">Hiring-news signal — no current data source covers this. Candidates to evaluate later include LinkedIn job postings or a dedicated intent-data vendor.</w:t>
      </w:r>
    </w:p>
    <w:p>
      <w:pPr>
        <w:pStyle w:val="ListParagraph"/>
        <w:numPr>
          <w:ilvl w:val="0"/>
          <w:numId w:val="2"/>
        </w:numPr>
        <w:spacing w:after="80" w:line="290"/>
      </w:pPr>
      <w:r>
        <w:t xml:space="preserve">Dashboard — deliberately deferred. If requirements change, PostgreSQL plus a small backend would be introduced at that point, not before.</w:t>
      </w:r>
    </w:p>
    <w:p>
      <w:pPr>
        <w:pBdr>
          <w:bottom w:val="single" w:color="D3D1C7" w:sz="6" w:space="1"/>
        </w:pBdr>
        <w:spacing w:after="200" w:before="200"/>
      </w:pPr>
    </w:p>
    <w:p>
      <w:pPr>
        <w:spacing w:after="0" w:line="300"/>
      </w:pPr>
      <w:r>
        <w:rPr>
          <w:b/>
          <w:bCs/>
        </w:rPr>
        <w:t xml:space="preserve">How to use this document: </w:t>
      </w:r>
      <w:r>
        <w:t xml:space="preserve">Treat Section 8 (build order) as the actual to-do list. Sections 4–7 are the reference material to consult while writing each piece. Section 10 is what to bring up proactively in your next check-in with your manager.</w:t>
      </w:r>
    </w:p>
    <w:sectPr>
      <w:headerReference w:type="default" r:id="rId7"/>
      <w:footerReference w:type="default" r:id="rId8"/>
      <w:pgSz w:w="12240" w:h="15840"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7"/>
        <w:szCs w:val="17"/>
      </w:rPr>
      <w:t xml:space="preserve">Page </w:t>
    </w:r>
    <w:r>
      <w:rPr>
        <w:color w:val="888780"/>
        <w:sz w:val="17"/>
        <w:szCs w:val="17"/>
      </w:rPr>
      <w:fldChar w:fldCharType="begin"/>
      <w:instrText xml:space="preserve">PAGE</w:instrText>
      <w:fldChar w:fldCharType="separate"/>
      <w:fldChar w:fldCharType="end"/>
    </w:r>
    <w:r>
      <w:rPr>
        <w:color w:val="888780"/>
        <w:sz w:val="17"/>
        <w:szCs w:val="17"/>
      </w:rPr>
      <w:t xml:space="preserve"> of </w:t>
    </w:r>
    <w:r>
      <w:rPr>
        <w:color w:val="8887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1"/>
      </w:pBdr>
      <w:tabs>
        <w:tab w:val="right" w:pos="9026"/>
      </w:tabs>
    </w:pPr>
    <w:r>
      <w:rPr>
        <w:color w:val="888780"/>
        <w:sz w:val="17"/>
        <w:szCs w:val="17"/>
      </w:rPr>
      <w:t xml:space="preserve">AI Lead Generation Engine</w:t>
    </w:r>
    <w:r>
      <w:rPr>
        <w:color w:val="888780"/>
        <w:sz w:val="17"/>
        <w:szCs w:val="17"/>
      </w:rPr>
      <w:t xml:space="preserve">	Internship project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155B5" w:sz="8" w:space="4"/>
      </w:pBdr>
      <w:spacing w:after="220" w:before="420"/>
      <w:outlineLvl w:val="0"/>
    </w:pPr>
    <w:rPr>
      <w:rFonts w:ascii="Calibri" w:cs="Calibri" w:eastAsia="Calibri" w:hAnsi="Calibri"/>
      <w:b/>
      <w:bCs/>
      <w:color w:val="121A33"/>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0C447C"/>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2026-06-22T07:53:07.631Z</dcterms:created>
  <dcterms:modified xsi:type="dcterms:W3CDTF">2026-06-22T07:53:07.631Z</dcterms:modified>
</cp:coreProperties>
</file>

<file path=docProps/custom.xml><?xml version="1.0" encoding="utf-8"?>
<Properties xmlns="http://schemas.openxmlformats.org/officeDocument/2006/custom-properties" xmlns:vt="http://schemas.openxmlformats.org/officeDocument/2006/docPropsVTypes"/>
</file>