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2FA" w:rsidRDefault="00C272FA" w:rsidP="006C2BEF">
      <w:pPr>
        <w:jc w:val="both"/>
        <w:rPr>
          <w:rFonts w:ascii="Times New Roman" w:hAnsi="Times New Roman" w:cs="Times New Roman"/>
          <w:b/>
          <w:sz w:val="24"/>
        </w:rPr>
      </w:pPr>
      <w:r>
        <w:rPr>
          <w:rFonts w:ascii="Times New Roman" w:hAnsi="Times New Roman" w:cs="Times New Roman"/>
          <w:b/>
          <w:sz w:val="24"/>
        </w:rPr>
        <w:t>Report:</w:t>
      </w:r>
    </w:p>
    <w:p w:rsidR="00C272FA" w:rsidRDefault="00C272FA" w:rsidP="006C2BEF">
      <w:pPr>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sidRPr="00C272FA">
        <w:rPr>
          <w:rFonts w:ascii="Times New Roman" w:hAnsi="Times New Roman" w:cs="Times New Roman"/>
          <w:b/>
          <w:sz w:val="28"/>
        </w:rPr>
        <w:t>Analysis of Electric Vehicle Ownership Dataset</w:t>
      </w:r>
    </w:p>
    <w:p w:rsidR="006C2BEF" w:rsidRPr="006C2BEF" w:rsidRDefault="006C2BEF" w:rsidP="006C2BEF">
      <w:pPr>
        <w:jc w:val="both"/>
        <w:rPr>
          <w:rFonts w:ascii="Times New Roman" w:hAnsi="Times New Roman" w:cs="Times New Roman"/>
          <w:b/>
          <w:sz w:val="24"/>
        </w:rPr>
      </w:pPr>
      <w:r w:rsidRPr="006C2BEF">
        <w:rPr>
          <w:rFonts w:ascii="Times New Roman" w:hAnsi="Times New Roman" w:cs="Times New Roman"/>
          <w:b/>
          <w:sz w:val="24"/>
        </w:rPr>
        <w:t>Introduction:</w:t>
      </w:r>
    </w:p>
    <w:p w:rsidR="006C2BEF" w:rsidRPr="006C2BEF" w:rsidRDefault="006C2BEF" w:rsidP="006C2BEF">
      <w:pPr>
        <w:jc w:val="both"/>
        <w:rPr>
          <w:rFonts w:ascii="Times New Roman" w:hAnsi="Times New Roman" w:cs="Times New Roman"/>
          <w:sz w:val="24"/>
        </w:rPr>
      </w:pPr>
      <w:r w:rsidRPr="006C2BEF">
        <w:rPr>
          <w:rFonts w:ascii="Times New Roman" w:hAnsi="Times New Roman" w:cs="Times New Roman"/>
          <w:sz w:val="24"/>
        </w:rPr>
        <w:t>The transition towards Electric Vehicles (EVs) is becoming increasingly prominent worldwide, driven by concerns over environmental sustainability and the imperative to achieve net-zero emissions. Australia, like many other countries, is witnessing a surge in interest in EV adoption. This burgeoning interest has prompted the Sustainable Futures Research Centre to embark on a comprehensive investigation into EV ownership patterns across the nation.</w:t>
      </w:r>
    </w:p>
    <w:p w:rsidR="006C2BEF" w:rsidRPr="006C2BEF" w:rsidRDefault="006C2BEF" w:rsidP="006C2BEF">
      <w:pPr>
        <w:jc w:val="both"/>
        <w:rPr>
          <w:rFonts w:ascii="Times New Roman" w:hAnsi="Times New Roman" w:cs="Times New Roman"/>
          <w:sz w:val="24"/>
        </w:rPr>
      </w:pPr>
      <w:r w:rsidRPr="006C2BEF">
        <w:rPr>
          <w:rFonts w:ascii="Times New Roman" w:hAnsi="Times New Roman" w:cs="Times New Roman"/>
          <w:sz w:val="24"/>
        </w:rPr>
        <w:t>This report delves into the findings derived from an extensive survey conducted by the Sustainable Futures Research Centre, targeting EV owners in Australia. The dataset at hand, named T12024A1.xlsx, encompasses a diverse array of variables capturing crucial information regarding EV owners' demographics, charging behavior, cost savings, and motivations for EV purchase.</w:t>
      </w:r>
    </w:p>
    <w:p w:rsidR="006C2BEF" w:rsidRPr="006C2BEF" w:rsidRDefault="006C2BEF" w:rsidP="006C2BEF">
      <w:pPr>
        <w:jc w:val="both"/>
        <w:rPr>
          <w:rFonts w:ascii="Times New Roman" w:hAnsi="Times New Roman" w:cs="Times New Roman"/>
          <w:sz w:val="24"/>
        </w:rPr>
      </w:pPr>
      <w:r w:rsidRPr="006C2BEF">
        <w:rPr>
          <w:rFonts w:ascii="Times New Roman" w:hAnsi="Times New Roman" w:cs="Times New Roman"/>
          <w:sz w:val="24"/>
        </w:rPr>
        <w:t>The dataset encapsulates various dimensions pertinent to understanding EV ownership trends, including geographic distribution (State and Locality), demographic characteristics (Age, Household Type), usage patterns (Annual Kilometers traveled, Trip Type), charging behavior (Charge at work, Charge at home), as well as economic considerations (Calculate Savings, Fuel Savings, Maintenance Savings).</w:t>
      </w:r>
    </w:p>
    <w:p w:rsidR="006C2BEF" w:rsidRPr="006C2BEF" w:rsidRDefault="006C2BEF" w:rsidP="006C2BEF">
      <w:pPr>
        <w:jc w:val="both"/>
        <w:rPr>
          <w:rFonts w:ascii="Times New Roman" w:hAnsi="Times New Roman" w:cs="Times New Roman"/>
          <w:sz w:val="24"/>
        </w:rPr>
      </w:pPr>
      <w:r w:rsidRPr="006C2BEF">
        <w:rPr>
          <w:rFonts w:ascii="Times New Roman" w:hAnsi="Times New Roman" w:cs="Times New Roman"/>
          <w:sz w:val="24"/>
        </w:rPr>
        <w:t>With a sample size of 102 EV owners, this dataset offers a comprehensive snapshot of the EV ownership landscape in Australia. The survey methodology employed by the Sustainable Futures Research Centre aimed to capture a nuanced understanding of EV owners' profiles, behaviors, and motivations, providing valuable insights into the dynamics driving EV adoption in the country.</w:t>
      </w:r>
    </w:p>
    <w:p w:rsidR="006C2BEF" w:rsidRPr="006C2BEF" w:rsidRDefault="006C2BEF" w:rsidP="006C2BEF">
      <w:pPr>
        <w:jc w:val="both"/>
        <w:rPr>
          <w:rFonts w:ascii="Times New Roman" w:hAnsi="Times New Roman" w:cs="Times New Roman"/>
          <w:sz w:val="24"/>
        </w:rPr>
      </w:pPr>
      <w:r w:rsidRPr="006C2BEF">
        <w:rPr>
          <w:rFonts w:ascii="Times New Roman" w:hAnsi="Times New Roman" w:cs="Times New Roman"/>
          <w:sz w:val="24"/>
        </w:rPr>
        <w:t>Throughout this report, we will delve into the intricacies of the dataset, employing various analytical techniques covered in Module 1. Our objective is to address the questions posed by Edmond Kendrick, the team leader at the Sustainable Futures Research Centre, and derive meaningful insights that shed light on the nuances of EV ownership in Australia.</w:t>
      </w:r>
    </w:p>
    <w:p w:rsidR="006C2BEF" w:rsidRPr="006C2BEF" w:rsidRDefault="006C2BEF" w:rsidP="006C2BEF">
      <w:pPr>
        <w:jc w:val="both"/>
        <w:rPr>
          <w:rFonts w:ascii="Times New Roman" w:hAnsi="Times New Roman" w:cs="Times New Roman"/>
          <w:sz w:val="24"/>
        </w:rPr>
      </w:pPr>
      <w:r w:rsidRPr="006C2BEF">
        <w:rPr>
          <w:rFonts w:ascii="Times New Roman" w:hAnsi="Times New Roman" w:cs="Times New Roman"/>
          <w:sz w:val="24"/>
        </w:rPr>
        <w:t>By analyzing the dataset through a lens of descriptive and inferential statistics, we aim to unravel patterns, trends, and associations that underpin EV ownership dynamics. Through this analysis, we endeavor to provide actionable insights that not only address the specific queries posed by Edmond but also contribute to a broader understanding of the EV landscape in Australia.</w:t>
      </w:r>
    </w:p>
    <w:p w:rsidR="006C2BEF" w:rsidRPr="006C2BEF" w:rsidRDefault="006C2BEF" w:rsidP="006C2BEF">
      <w:pPr>
        <w:jc w:val="both"/>
        <w:rPr>
          <w:rFonts w:ascii="Times New Roman" w:hAnsi="Times New Roman" w:cs="Times New Roman"/>
          <w:b/>
          <w:sz w:val="24"/>
        </w:rPr>
      </w:pPr>
      <w:r w:rsidRPr="006C2BEF">
        <w:rPr>
          <w:rFonts w:ascii="Times New Roman" w:hAnsi="Times New Roman" w:cs="Times New Roman"/>
          <w:b/>
          <w:sz w:val="24"/>
        </w:rPr>
        <w:t>Analysis Findings:</w:t>
      </w:r>
    </w:p>
    <w:p w:rsidR="006C2BEF" w:rsidRDefault="006C2BEF" w:rsidP="006C2BEF">
      <w:pPr>
        <w:jc w:val="both"/>
        <w:rPr>
          <w:rFonts w:ascii="Times New Roman" w:hAnsi="Times New Roman" w:cs="Times New Roman"/>
          <w:sz w:val="24"/>
        </w:rPr>
      </w:pPr>
      <w:r w:rsidRPr="006C2BEF">
        <w:rPr>
          <w:rFonts w:ascii="Times New Roman" w:hAnsi="Times New Roman" w:cs="Times New Roman"/>
          <w:b/>
          <w:sz w:val="24"/>
        </w:rPr>
        <w:t>Q-1: Do metro E</w:t>
      </w:r>
      <w:bookmarkStart w:id="0" w:name="_GoBack"/>
      <w:bookmarkEnd w:id="0"/>
      <w:r w:rsidRPr="006C2BEF">
        <w:rPr>
          <w:rFonts w:ascii="Times New Roman" w:hAnsi="Times New Roman" w:cs="Times New Roman"/>
          <w:b/>
          <w:sz w:val="24"/>
        </w:rPr>
        <w:t>V owners travel further than their regional counterparts?</w:t>
      </w:r>
      <w:r w:rsidRPr="006C2BEF">
        <w:rPr>
          <w:rFonts w:ascii="Times New Roman" w:hAnsi="Times New Roman" w:cs="Times New Roman"/>
          <w:sz w:val="24"/>
        </w:rPr>
        <w:t xml:space="preserve"> </w:t>
      </w:r>
    </w:p>
    <w:p w:rsidR="006C2BEF" w:rsidRPr="006C2BEF" w:rsidRDefault="006C2BEF" w:rsidP="006C2BEF">
      <w:pPr>
        <w:jc w:val="both"/>
        <w:rPr>
          <w:rFonts w:ascii="Times New Roman" w:hAnsi="Times New Roman" w:cs="Times New Roman"/>
          <w:sz w:val="24"/>
        </w:rPr>
      </w:pPr>
      <w:r w:rsidRPr="006C2BEF">
        <w:rPr>
          <w:rFonts w:ascii="Times New Roman" w:hAnsi="Times New Roman" w:cs="Times New Roman"/>
          <w:sz w:val="24"/>
        </w:rPr>
        <w:t>The analysis conducted on the dataset revealed significant insights into the travel behaviors of metro and regional EV owners. Employing a significance level of 0.05, the one-tailed test yielded a p-value of 0.044264303, indicating statistical significance. This suggests that metro EV owners indeed travel further annually compared to their regional counterparts. However, for the two-tailed test, the p-value of 0.088528606 suggests some evidence against the null hypothesis, albeit not strong enough to reach conventional levels of statistical significance. Therefore, based on the one-</w:t>
      </w:r>
      <w:r w:rsidRPr="006C2BEF">
        <w:rPr>
          <w:rFonts w:ascii="Times New Roman" w:hAnsi="Times New Roman" w:cs="Times New Roman"/>
          <w:sz w:val="24"/>
        </w:rPr>
        <w:lastRenderedPageBreak/>
        <w:t>tailed test, we can conclude that there is evidence to suggest that metro EV owners travel further annually compared to regional EV owners.</w:t>
      </w:r>
    </w:p>
    <w:p w:rsidR="006C2BEF" w:rsidRDefault="006C2BEF" w:rsidP="006C2BEF">
      <w:pPr>
        <w:jc w:val="both"/>
        <w:rPr>
          <w:rFonts w:ascii="Times New Roman" w:hAnsi="Times New Roman" w:cs="Times New Roman"/>
          <w:sz w:val="24"/>
        </w:rPr>
      </w:pPr>
      <w:r w:rsidRPr="006C2BEF">
        <w:rPr>
          <w:rFonts w:ascii="Times New Roman" w:hAnsi="Times New Roman" w:cs="Times New Roman"/>
          <w:b/>
          <w:sz w:val="24"/>
        </w:rPr>
        <w:t>Q-2: Are fewer EV owners in metro areas using their vehicles for towing than those in regional areas?</w:t>
      </w:r>
      <w:r w:rsidRPr="006C2BEF">
        <w:rPr>
          <w:rFonts w:ascii="Times New Roman" w:hAnsi="Times New Roman" w:cs="Times New Roman"/>
          <w:sz w:val="24"/>
        </w:rPr>
        <w:t xml:space="preserve"> </w:t>
      </w:r>
    </w:p>
    <w:p w:rsidR="006C2BEF" w:rsidRPr="006C2BEF" w:rsidRDefault="006C2BEF" w:rsidP="006C2BEF">
      <w:pPr>
        <w:jc w:val="both"/>
        <w:rPr>
          <w:rFonts w:ascii="Times New Roman" w:hAnsi="Times New Roman" w:cs="Times New Roman"/>
          <w:sz w:val="24"/>
        </w:rPr>
      </w:pPr>
      <w:r w:rsidRPr="006C2BEF">
        <w:rPr>
          <w:rFonts w:ascii="Times New Roman" w:hAnsi="Times New Roman" w:cs="Times New Roman"/>
          <w:sz w:val="24"/>
        </w:rPr>
        <w:t>The chi-square test conducted to investigate the association between locality and EV towing revealed a p-value of 0.1387, which is greater than the chosen significance level of 0.05. Hence, we fail to reject the null hypothesis, indicating that there is not enough evidence to conclude a significant association between locality and EV towing. In summary, there is no significant evidence to claim that fewer EV owners in metro areas use their vehicles for towing compared to those in regional areas.</w:t>
      </w:r>
    </w:p>
    <w:p w:rsidR="006C2BEF" w:rsidRDefault="006C2BEF" w:rsidP="006C2BEF">
      <w:pPr>
        <w:jc w:val="both"/>
        <w:rPr>
          <w:rFonts w:ascii="Times New Roman" w:hAnsi="Times New Roman" w:cs="Times New Roman"/>
          <w:sz w:val="24"/>
        </w:rPr>
      </w:pPr>
      <w:r w:rsidRPr="006C2BEF">
        <w:rPr>
          <w:rFonts w:ascii="Times New Roman" w:hAnsi="Times New Roman" w:cs="Times New Roman"/>
          <w:b/>
          <w:sz w:val="24"/>
        </w:rPr>
        <w:t>Q-3: Does the average fuel cost savings significantly differ across household types?</w:t>
      </w:r>
      <w:r w:rsidRPr="006C2BEF">
        <w:rPr>
          <w:rFonts w:ascii="Times New Roman" w:hAnsi="Times New Roman" w:cs="Times New Roman"/>
          <w:sz w:val="24"/>
        </w:rPr>
        <w:t xml:space="preserve"> </w:t>
      </w:r>
    </w:p>
    <w:p w:rsidR="006C2BEF" w:rsidRPr="006C2BEF" w:rsidRDefault="006C2BEF" w:rsidP="006C2BEF">
      <w:pPr>
        <w:jc w:val="both"/>
        <w:rPr>
          <w:rFonts w:ascii="Times New Roman" w:hAnsi="Times New Roman" w:cs="Times New Roman"/>
          <w:sz w:val="24"/>
        </w:rPr>
      </w:pPr>
      <w:r w:rsidRPr="006C2BEF">
        <w:rPr>
          <w:rFonts w:ascii="Times New Roman" w:hAnsi="Times New Roman" w:cs="Times New Roman"/>
          <w:sz w:val="24"/>
        </w:rPr>
        <w:t>Utilizing ANOVA analysis, the investigation into average fuel cost savings across different household types yielded promising results. The F-statistic associated with a p-value of 0.0095, less than the chosen significance level of 0.05, indicates statistical significance. Therefore, we can conclude that there is indeed a significant difference in average fuel cost savings across household types. Further post-hoc tests may be conducted to identify specific household types that significantly differ from each other in terms of fuel cost savings.</w:t>
      </w:r>
    </w:p>
    <w:p w:rsidR="006C2BEF" w:rsidRDefault="006C2BEF" w:rsidP="006C2BEF">
      <w:pPr>
        <w:jc w:val="both"/>
        <w:rPr>
          <w:rFonts w:ascii="Times New Roman" w:hAnsi="Times New Roman" w:cs="Times New Roman"/>
          <w:sz w:val="24"/>
        </w:rPr>
      </w:pPr>
      <w:r w:rsidRPr="006C2BEF">
        <w:rPr>
          <w:rFonts w:ascii="Times New Roman" w:hAnsi="Times New Roman" w:cs="Times New Roman"/>
          <w:b/>
          <w:sz w:val="24"/>
        </w:rPr>
        <w:t>Q-4: Is there a difference in the proportion of EV owners who charge their vehicles at home more than five times per week based on their motivation for purchasing an EV?</w:t>
      </w:r>
      <w:r w:rsidRPr="006C2BEF">
        <w:rPr>
          <w:rFonts w:ascii="Times New Roman" w:hAnsi="Times New Roman" w:cs="Times New Roman"/>
          <w:sz w:val="24"/>
        </w:rPr>
        <w:t xml:space="preserve"> </w:t>
      </w:r>
    </w:p>
    <w:p w:rsidR="006C2BEF" w:rsidRPr="006C2BEF" w:rsidRDefault="006C2BEF" w:rsidP="006C2BEF">
      <w:pPr>
        <w:jc w:val="both"/>
        <w:rPr>
          <w:rFonts w:ascii="Times New Roman" w:hAnsi="Times New Roman" w:cs="Times New Roman"/>
          <w:sz w:val="24"/>
        </w:rPr>
      </w:pPr>
      <w:r w:rsidRPr="006C2BEF">
        <w:rPr>
          <w:rFonts w:ascii="Times New Roman" w:hAnsi="Times New Roman" w:cs="Times New Roman"/>
          <w:sz w:val="24"/>
        </w:rPr>
        <w:t>The analysis of the proportions revealed notable differences depending on the motivation for purchasing an EV. Fuel Security emerged with the highest proportion of EV owners charging their vehicles at home more than five times per week, followed by Environment, Technology, Economic, and Health. This suggests that the motivation for purchasing an EV influences the frequency of charging at home, with certain motivations leading to a higher proportion of frequent charging.</w:t>
      </w:r>
    </w:p>
    <w:p w:rsidR="006C2BEF" w:rsidRDefault="006C2BEF" w:rsidP="006C2BEF">
      <w:pPr>
        <w:jc w:val="both"/>
        <w:rPr>
          <w:rFonts w:ascii="Times New Roman" w:hAnsi="Times New Roman" w:cs="Times New Roman"/>
          <w:sz w:val="24"/>
        </w:rPr>
      </w:pPr>
      <w:r w:rsidRPr="006C2BEF">
        <w:rPr>
          <w:rFonts w:ascii="Times New Roman" w:hAnsi="Times New Roman" w:cs="Times New Roman"/>
          <w:b/>
          <w:sz w:val="24"/>
        </w:rPr>
        <w:t>Q-5: Design an experiment to see the impact of locality and types of trips on the distances traveled in EVs.</w:t>
      </w:r>
      <w:r w:rsidRPr="006C2BEF">
        <w:rPr>
          <w:rFonts w:ascii="Times New Roman" w:hAnsi="Times New Roman" w:cs="Times New Roman"/>
          <w:sz w:val="24"/>
        </w:rPr>
        <w:t xml:space="preserve"> </w:t>
      </w:r>
    </w:p>
    <w:p w:rsidR="006C2BEF" w:rsidRPr="006C2BEF" w:rsidRDefault="006C2BEF" w:rsidP="006C2BEF">
      <w:pPr>
        <w:jc w:val="both"/>
        <w:rPr>
          <w:rFonts w:ascii="Times New Roman" w:hAnsi="Times New Roman" w:cs="Times New Roman"/>
          <w:sz w:val="24"/>
        </w:rPr>
      </w:pPr>
      <w:r w:rsidRPr="006C2BEF">
        <w:rPr>
          <w:rFonts w:ascii="Times New Roman" w:hAnsi="Times New Roman" w:cs="Times New Roman"/>
          <w:sz w:val="24"/>
        </w:rPr>
        <w:t>An experiment was designed to explore the influence of locality (Metro vs. Regional) and types of trips (Holiday, Private, Work) on the distances traveled in EVs. The analysis revealed that while trip types significantly affect distances traveled, there's minimal variation between Metro and Regional areas. Private trips accounted for the highest distance traveled, followed by Work and Holiday trips. Recommendations were made to focus on optimizing EV infrastructure and incentives to support private users, given their tendency for longer journeys.</w:t>
      </w:r>
    </w:p>
    <w:p w:rsidR="006C2BEF" w:rsidRDefault="006C2BEF" w:rsidP="006C2BEF">
      <w:pPr>
        <w:jc w:val="both"/>
        <w:rPr>
          <w:rFonts w:ascii="Times New Roman" w:hAnsi="Times New Roman" w:cs="Times New Roman"/>
          <w:sz w:val="24"/>
        </w:rPr>
      </w:pPr>
      <w:r w:rsidRPr="006C2BEF">
        <w:rPr>
          <w:rFonts w:ascii="Times New Roman" w:hAnsi="Times New Roman" w:cs="Times New Roman"/>
          <w:b/>
          <w:sz w:val="24"/>
        </w:rPr>
        <w:t>Q-6: Is there a change in the attitude of EV owners towards public EV charging infrastructure between 2022 and 2023?</w:t>
      </w:r>
      <w:r w:rsidRPr="006C2BEF">
        <w:rPr>
          <w:rFonts w:ascii="Times New Roman" w:hAnsi="Times New Roman" w:cs="Times New Roman"/>
          <w:sz w:val="24"/>
        </w:rPr>
        <w:t xml:space="preserve"> </w:t>
      </w:r>
    </w:p>
    <w:p w:rsidR="006C2BEF" w:rsidRPr="006C2BEF" w:rsidRDefault="006C2BEF" w:rsidP="006C2BEF">
      <w:pPr>
        <w:jc w:val="both"/>
        <w:rPr>
          <w:rFonts w:ascii="Times New Roman" w:hAnsi="Times New Roman" w:cs="Times New Roman"/>
          <w:sz w:val="24"/>
        </w:rPr>
      </w:pPr>
      <w:r w:rsidRPr="006C2BEF">
        <w:rPr>
          <w:rFonts w:ascii="Times New Roman" w:hAnsi="Times New Roman" w:cs="Times New Roman"/>
          <w:sz w:val="24"/>
        </w:rPr>
        <w:t xml:space="preserve">The analysis conducted on the mean Attitude Scores of EV owners in 2022 and 2023 revealed a significant change. The p-value associated with the t-statistic of -3.232 was 0.007984102 (two-tailed), indicating statistical significance. Therefore, we reject the null hypothesis, concluding that </w:t>
      </w:r>
      <w:r w:rsidRPr="006C2BEF">
        <w:rPr>
          <w:rFonts w:ascii="Times New Roman" w:hAnsi="Times New Roman" w:cs="Times New Roman"/>
          <w:sz w:val="24"/>
        </w:rPr>
        <w:lastRenderedPageBreak/>
        <w:t>there is indeed a significant change in the attitude of EV owners towards public EV charging infrastructure between 2022 and 2023. The mean Attitude Score increased from 2022 to 2023, suggesting an overall increase in support for the government's approach to public EV charging infrastructure.</w:t>
      </w:r>
    </w:p>
    <w:p w:rsidR="006C2BEF" w:rsidRPr="006C2BEF" w:rsidRDefault="006C2BEF" w:rsidP="006C2BEF">
      <w:pPr>
        <w:jc w:val="both"/>
        <w:rPr>
          <w:rFonts w:ascii="Times New Roman" w:hAnsi="Times New Roman" w:cs="Times New Roman"/>
          <w:b/>
          <w:sz w:val="24"/>
        </w:rPr>
      </w:pPr>
      <w:r w:rsidRPr="006C2BEF">
        <w:rPr>
          <w:rFonts w:ascii="Times New Roman" w:hAnsi="Times New Roman" w:cs="Times New Roman"/>
          <w:b/>
          <w:sz w:val="24"/>
        </w:rPr>
        <w:t>Conclusion:</w:t>
      </w:r>
    </w:p>
    <w:p w:rsidR="00C135E5" w:rsidRPr="00C135E5" w:rsidRDefault="00C135E5" w:rsidP="00C135E5">
      <w:pPr>
        <w:jc w:val="both"/>
        <w:rPr>
          <w:rFonts w:ascii="Times New Roman" w:hAnsi="Times New Roman" w:cs="Times New Roman"/>
          <w:sz w:val="24"/>
        </w:rPr>
      </w:pPr>
      <w:r w:rsidRPr="00C135E5">
        <w:rPr>
          <w:rFonts w:ascii="Times New Roman" w:hAnsi="Times New Roman" w:cs="Times New Roman"/>
          <w:sz w:val="24"/>
        </w:rPr>
        <w:t>The conclusion of the analysis of the Electric Vehicle (EV) ownership dataset in Australia reveals several key insights and implications for policymakers, stakeholders, and researchers:</w:t>
      </w:r>
    </w:p>
    <w:p w:rsidR="00C135E5" w:rsidRPr="00C135E5" w:rsidRDefault="00C135E5" w:rsidP="00C135E5">
      <w:pPr>
        <w:numPr>
          <w:ilvl w:val="0"/>
          <w:numId w:val="2"/>
        </w:numPr>
        <w:jc w:val="both"/>
        <w:rPr>
          <w:rFonts w:ascii="Times New Roman" w:hAnsi="Times New Roman" w:cs="Times New Roman"/>
          <w:sz w:val="24"/>
        </w:rPr>
      </w:pPr>
      <w:r w:rsidRPr="00C135E5">
        <w:rPr>
          <w:rFonts w:ascii="Times New Roman" w:hAnsi="Times New Roman" w:cs="Times New Roman"/>
          <w:b/>
          <w:bCs/>
          <w:sz w:val="24"/>
        </w:rPr>
        <w:t>Significance of EV Adoption</w:t>
      </w:r>
      <w:r w:rsidRPr="00C135E5">
        <w:rPr>
          <w:rFonts w:ascii="Times New Roman" w:hAnsi="Times New Roman" w:cs="Times New Roman"/>
          <w:sz w:val="24"/>
        </w:rPr>
        <w:t>: The findings underscore the increasing prominence of EVs globally, driven by concerns over environmental sustainability and the imperative to achieve net-zero emissions. Australia, like many other countries, is experiencing a surge in interest in EV adoption, highlighting the growing importance of sustainable transportation solutions.</w:t>
      </w:r>
    </w:p>
    <w:p w:rsidR="00C135E5" w:rsidRPr="00C135E5" w:rsidRDefault="00C135E5" w:rsidP="00C135E5">
      <w:pPr>
        <w:numPr>
          <w:ilvl w:val="0"/>
          <w:numId w:val="2"/>
        </w:numPr>
        <w:jc w:val="both"/>
        <w:rPr>
          <w:rFonts w:ascii="Times New Roman" w:hAnsi="Times New Roman" w:cs="Times New Roman"/>
          <w:sz w:val="24"/>
        </w:rPr>
      </w:pPr>
      <w:r w:rsidRPr="00C135E5">
        <w:rPr>
          <w:rFonts w:ascii="Times New Roman" w:hAnsi="Times New Roman" w:cs="Times New Roman"/>
          <w:b/>
          <w:bCs/>
          <w:sz w:val="24"/>
        </w:rPr>
        <w:t>Insights into EV Ownership Dynamics</w:t>
      </w:r>
      <w:r w:rsidRPr="00C135E5">
        <w:rPr>
          <w:rFonts w:ascii="Times New Roman" w:hAnsi="Times New Roman" w:cs="Times New Roman"/>
          <w:sz w:val="24"/>
        </w:rPr>
        <w:t>: Through a comprehensive investigation into EV ownership patterns, the analysis provides valuable insights into various aspects of EV ownership in Australia. These insights encompass travel behaviors, charging patterns, motivations for purchase, and attitudes towards public infrastructure, contributing to a deeper understanding of the complexities and nuances of EV adoption.</w:t>
      </w:r>
    </w:p>
    <w:p w:rsidR="00C135E5" w:rsidRPr="00C135E5" w:rsidRDefault="00C135E5" w:rsidP="00C135E5">
      <w:pPr>
        <w:numPr>
          <w:ilvl w:val="0"/>
          <w:numId w:val="2"/>
        </w:numPr>
        <w:jc w:val="both"/>
        <w:rPr>
          <w:rFonts w:ascii="Times New Roman" w:hAnsi="Times New Roman" w:cs="Times New Roman"/>
          <w:sz w:val="24"/>
        </w:rPr>
      </w:pPr>
      <w:r w:rsidRPr="00C135E5">
        <w:rPr>
          <w:rFonts w:ascii="Times New Roman" w:hAnsi="Times New Roman" w:cs="Times New Roman"/>
          <w:b/>
          <w:bCs/>
          <w:sz w:val="24"/>
        </w:rPr>
        <w:t>Implications for Policy and Infrastructure Development</w:t>
      </w:r>
      <w:r w:rsidRPr="00C135E5">
        <w:rPr>
          <w:rFonts w:ascii="Times New Roman" w:hAnsi="Times New Roman" w:cs="Times New Roman"/>
          <w:sz w:val="24"/>
        </w:rPr>
        <w:t>: The analysis offers actionable recommendations for policymakers and stakeholders to foster sustainable mobility and achieve net-zero emissions goals. These recommendations include incentivizing EV adoption, prioritizing investment in EV charging infrastructure, intensifying efforts to raise awareness about the benefits of EV ownership, and continuing research into EV technology and battery efficiency.</w:t>
      </w:r>
    </w:p>
    <w:p w:rsidR="00C135E5" w:rsidRPr="00C135E5" w:rsidRDefault="00C135E5" w:rsidP="00C135E5">
      <w:pPr>
        <w:numPr>
          <w:ilvl w:val="0"/>
          <w:numId w:val="2"/>
        </w:numPr>
        <w:jc w:val="both"/>
        <w:rPr>
          <w:rFonts w:ascii="Times New Roman" w:hAnsi="Times New Roman" w:cs="Times New Roman"/>
          <w:sz w:val="24"/>
        </w:rPr>
      </w:pPr>
      <w:r w:rsidRPr="00C135E5">
        <w:rPr>
          <w:rFonts w:ascii="Times New Roman" w:hAnsi="Times New Roman" w:cs="Times New Roman"/>
          <w:b/>
          <w:bCs/>
          <w:sz w:val="24"/>
        </w:rPr>
        <w:t>Need for Further Research and Development</w:t>
      </w:r>
      <w:r w:rsidRPr="00C135E5">
        <w:rPr>
          <w:rFonts w:ascii="Times New Roman" w:hAnsi="Times New Roman" w:cs="Times New Roman"/>
          <w:sz w:val="24"/>
        </w:rPr>
        <w:t>: While the analysis sheds light on various dimensions of EV ownership, it's essential to acknowledge the limitations of the analysis. The dataset provides a snapshot of EV ownership but may not capture all individual variations or influencing factors. Additionally, technical assumptions and statistical limitations may impact the robustness of the conclusions drawn. Therefore, further research and development efforts are warranted to address current limitations and enhance the overall EV ownership experience.</w:t>
      </w:r>
    </w:p>
    <w:p w:rsidR="00C135E5" w:rsidRPr="00C135E5" w:rsidRDefault="00C135E5" w:rsidP="00C135E5">
      <w:pPr>
        <w:jc w:val="both"/>
        <w:rPr>
          <w:rFonts w:ascii="Times New Roman" w:hAnsi="Times New Roman" w:cs="Times New Roman"/>
          <w:sz w:val="24"/>
        </w:rPr>
      </w:pPr>
      <w:r w:rsidRPr="00C135E5">
        <w:rPr>
          <w:rFonts w:ascii="Times New Roman" w:hAnsi="Times New Roman" w:cs="Times New Roman"/>
          <w:sz w:val="24"/>
        </w:rPr>
        <w:t>In conclusion, the analysis of the EV ownership dataset in Australia underscores the importance of understanding EV ownership dynamics to inform policy interventions, infrastructure development, and research endeavors aimed at promoting sustainable transportation and achieving net-zero emissions goals. By leveraging the insights derived from the analysis, stakeholders can develop informed strategies and interventions to accelerate the transition towards a more sustainable and environmentally friendly transportation system.</w:t>
      </w:r>
    </w:p>
    <w:p w:rsidR="006C2BEF" w:rsidRPr="006C2BEF" w:rsidRDefault="006C2BEF" w:rsidP="006C2BEF">
      <w:pPr>
        <w:jc w:val="both"/>
        <w:rPr>
          <w:rFonts w:ascii="Times New Roman" w:hAnsi="Times New Roman" w:cs="Times New Roman"/>
          <w:sz w:val="24"/>
        </w:rPr>
      </w:pPr>
    </w:p>
    <w:p w:rsidR="00A32F06" w:rsidRDefault="00A32F06" w:rsidP="006C2BEF">
      <w:pPr>
        <w:jc w:val="both"/>
        <w:rPr>
          <w:rFonts w:ascii="Times New Roman" w:hAnsi="Times New Roman" w:cs="Times New Roman"/>
          <w:b/>
          <w:sz w:val="24"/>
        </w:rPr>
      </w:pPr>
    </w:p>
    <w:p w:rsidR="006C2BEF" w:rsidRPr="006C2BEF" w:rsidRDefault="006C2BEF" w:rsidP="006C2BEF">
      <w:pPr>
        <w:jc w:val="both"/>
        <w:rPr>
          <w:rFonts w:ascii="Times New Roman" w:hAnsi="Times New Roman" w:cs="Times New Roman"/>
          <w:b/>
          <w:sz w:val="24"/>
        </w:rPr>
      </w:pPr>
      <w:r w:rsidRPr="006C2BEF">
        <w:rPr>
          <w:rFonts w:ascii="Times New Roman" w:hAnsi="Times New Roman" w:cs="Times New Roman"/>
          <w:b/>
          <w:sz w:val="24"/>
        </w:rPr>
        <w:lastRenderedPageBreak/>
        <w:t>Recommendations:</w:t>
      </w:r>
    </w:p>
    <w:p w:rsidR="006C2BEF" w:rsidRPr="006C2BEF" w:rsidRDefault="006C2BEF" w:rsidP="006C2BEF">
      <w:pPr>
        <w:numPr>
          <w:ilvl w:val="0"/>
          <w:numId w:val="1"/>
        </w:numPr>
        <w:jc w:val="both"/>
        <w:rPr>
          <w:rFonts w:ascii="Times New Roman" w:hAnsi="Times New Roman" w:cs="Times New Roman"/>
          <w:sz w:val="24"/>
        </w:rPr>
      </w:pPr>
      <w:r w:rsidRPr="006C2BEF">
        <w:rPr>
          <w:rFonts w:ascii="Times New Roman" w:hAnsi="Times New Roman" w:cs="Times New Roman"/>
          <w:sz w:val="24"/>
        </w:rPr>
        <w:t>Policy Interventions: Governments should focus on incentivizing EV adoption, especially in metro areas, to promote sustainable transportation.</w:t>
      </w:r>
    </w:p>
    <w:p w:rsidR="006C2BEF" w:rsidRPr="006C2BEF" w:rsidRDefault="006C2BEF" w:rsidP="006C2BEF">
      <w:pPr>
        <w:numPr>
          <w:ilvl w:val="0"/>
          <w:numId w:val="1"/>
        </w:numPr>
        <w:jc w:val="both"/>
        <w:rPr>
          <w:rFonts w:ascii="Times New Roman" w:hAnsi="Times New Roman" w:cs="Times New Roman"/>
          <w:sz w:val="24"/>
        </w:rPr>
      </w:pPr>
      <w:r w:rsidRPr="006C2BEF">
        <w:rPr>
          <w:rFonts w:ascii="Times New Roman" w:hAnsi="Times New Roman" w:cs="Times New Roman"/>
          <w:sz w:val="24"/>
        </w:rPr>
        <w:t>Infrastructure Development: Investment in EV charging infrastructure should be prioritized, particularly in regional areas, to encourage EV usage and alleviate range anxiety.</w:t>
      </w:r>
    </w:p>
    <w:p w:rsidR="006C2BEF" w:rsidRPr="006C2BEF" w:rsidRDefault="006C2BEF" w:rsidP="006C2BEF">
      <w:pPr>
        <w:numPr>
          <w:ilvl w:val="0"/>
          <w:numId w:val="1"/>
        </w:numPr>
        <w:jc w:val="both"/>
        <w:rPr>
          <w:rFonts w:ascii="Times New Roman" w:hAnsi="Times New Roman" w:cs="Times New Roman"/>
          <w:sz w:val="24"/>
        </w:rPr>
      </w:pPr>
      <w:r w:rsidRPr="006C2BEF">
        <w:rPr>
          <w:rFonts w:ascii="Times New Roman" w:hAnsi="Times New Roman" w:cs="Times New Roman"/>
          <w:sz w:val="24"/>
        </w:rPr>
        <w:t>Education and Awareness: Efforts to raise awareness about the environmental and economic benefits of EV ownership should be intensified to further accelerate adoption rates.</w:t>
      </w:r>
    </w:p>
    <w:p w:rsidR="006C2BEF" w:rsidRPr="006C2BEF" w:rsidRDefault="006C2BEF" w:rsidP="006C2BEF">
      <w:pPr>
        <w:numPr>
          <w:ilvl w:val="0"/>
          <w:numId w:val="1"/>
        </w:numPr>
        <w:jc w:val="both"/>
        <w:rPr>
          <w:rFonts w:ascii="Times New Roman" w:hAnsi="Times New Roman" w:cs="Times New Roman"/>
          <w:sz w:val="24"/>
        </w:rPr>
      </w:pPr>
      <w:r w:rsidRPr="006C2BEF">
        <w:rPr>
          <w:rFonts w:ascii="Times New Roman" w:hAnsi="Times New Roman" w:cs="Times New Roman"/>
          <w:sz w:val="24"/>
        </w:rPr>
        <w:t>Research and Development: Continued research into EV technology and battery efficiency is essential to address current limitations and enhance the overall EV ownership experience.</w:t>
      </w:r>
    </w:p>
    <w:p w:rsidR="006C2BEF" w:rsidRPr="006C2BEF" w:rsidRDefault="006C2BEF" w:rsidP="006C2BEF">
      <w:pPr>
        <w:jc w:val="both"/>
        <w:rPr>
          <w:rFonts w:ascii="Times New Roman" w:hAnsi="Times New Roman" w:cs="Times New Roman"/>
          <w:b/>
          <w:sz w:val="24"/>
        </w:rPr>
      </w:pPr>
      <w:r w:rsidRPr="006C2BEF">
        <w:rPr>
          <w:rFonts w:ascii="Times New Roman" w:hAnsi="Times New Roman" w:cs="Times New Roman"/>
          <w:b/>
          <w:sz w:val="24"/>
        </w:rPr>
        <w:t>Limitations:</w:t>
      </w:r>
    </w:p>
    <w:p w:rsidR="006C2BEF" w:rsidRPr="006C2BEF" w:rsidRDefault="006C2BEF" w:rsidP="006C2BEF">
      <w:pPr>
        <w:jc w:val="both"/>
        <w:rPr>
          <w:rFonts w:ascii="Times New Roman" w:hAnsi="Times New Roman" w:cs="Times New Roman"/>
          <w:sz w:val="24"/>
        </w:rPr>
      </w:pPr>
      <w:r w:rsidRPr="006C2BEF">
        <w:rPr>
          <w:rFonts w:ascii="Times New Roman" w:hAnsi="Times New Roman" w:cs="Times New Roman"/>
          <w:sz w:val="24"/>
        </w:rPr>
        <w:t>It's important to acknowledge the limitations of the analysis. The dataset provides a snapshot of EV ownership but may not capture all individual variations or influencing factors. Additionally, technical assumptions and statistical limitations, such as unequal sample sizes or other unaccounted variables, may impact the robustness of the conclusions drawn. These limitations should be considered when interpreting the findings and planning future research endeavors.</w:t>
      </w:r>
    </w:p>
    <w:p w:rsidR="009006DB" w:rsidRPr="006C2BEF" w:rsidRDefault="00AA4B0F" w:rsidP="006C2BEF">
      <w:pPr>
        <w:jc w:val="both"/>
        <w:rPr>
          <w:rFonts w:ascii="Times New Roman" w:hAnsi="Times New Roman" w:cs="Times New Roman"/>
          <w:sz w:val="24"/>
        </w:rPr>
      </w:pPr>
    </w:p>
    <w:sectPr w:rsidR="009006DB" w:rsidRPr="006C2BE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B0F" w:rsidRDefault="00AA4B0F" w:rsidP="00DC14D4">
      <w:pPr>
        <w:spacing w:after="0" w:line="240" w:lineRule="auto"/>
      </w:pPr>
      <w:r>
        <w:separator/>
      </w:r>
    </w:p>
  </w:endnote>
  <w:endnote w:type="continuationSeparator" w:id="0">
    <w:p w:rsidR="00AA4B0F" w:rsidRDefault="00AA4B0F" w:rsidP="00DC1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4D4" w:rsidRDefault="00DC14D4">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0B6491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Pr="00DC14D4">
      <w:rPr>
        <w:rFonts w:asciiTheme="majorHAnsi" w:eastAsiaTheme="majorEastAsia" w:hAnsiTheme="majorHAnsi" w:cstheme="majorBidi"/>
        <w:noProof/>
        <w:color w:val="5B9BD5" w:themeColor="accent1"/>
        <w:sz w:val="20"/>
        <w:szCs w:val="20"/>
      </w:rPr>
      <w:t>3</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B0F" w:rsidRDefault="00AA4B0F" w:rsidP="00DC14D4">
      <w:pPr>
        <w:spacing w:after="0" w:line="240" w:lineRule="auto"/>
      </w:pPr>
      <w:r>
        <w:separator/>
      </w:r>
    </w:p>
  </w:footnote>
  <w:footnote w:type="continuationSeparator" w:id="0">
    <w:p w:rsidR="00AA4B0F" w:rsidRDefault="00AA4B0F" w:rsidP="00DC14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C12CC"/>
    <w:multiLevelType w:val="multilevel"/>
    <w:tmpl w:val="7C1EF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647C2"/>
    <w:multiLevelType w:val="multilevel"/>
    <w:tmpl w:val="5066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BEF"/>
    <w:rsid w:val="004A399D"/>
    <w:rsid w:val="005A71F3"/>
    <w:rsid w:val="006C2BEF"/>
    <w:rsid w:val="00A32F06"/>
    <w:rsid w:val="00AA4B0F"/>
    <w:rsid w:val="00BD7821"/>
    <w:rsid w:val="00C135E5"/>
    <w:rsid w:val="00C272FA"/>
    <w:rsid w:val="00C5393C"/>
    <w:rsid w:val="00DC1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AA872-4F26-46FE-8418-8369971B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4D4"/>
  </w:style>
  <w:style w:type="paragraph" w:styleId="Footer">
    <w:name w:val="footer"/>
    <w:basedOn w:val="Normal"/>
    <w:link w:val="FooterChar"/>
    <w:uiPriority w:val="99"/>
    <w:unhideWhenUsed/>
    <w:rsid w:val="00DC1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7392">
      <w:bodyDiv w:val="1"/>
      <w:marLeft w:val="0"/>
      <w:marRight w:val="0"/>
      <w:marTop w:val="0"/>
      <w:marBottom w:val="0"/>
      <w:divBdr>
        <w:top w:val="none" w:sz="0" w:space="0" w:color="auto"/>
        <w:left w:val="none" w:sz="0" w:space="0" w:color="auto"/>
        <w:bottom w:val="none" w:sz="0" w:space="0" w:color="auto"/>
        <w:right w:val="none" w:sz="0" w:space="0" w:color="auto"/>
      </w:divBdr>
    </w:div>
    <w:div w:id="1063287597">
      <w:bodyDiv w:val="1"/>
      <w:marLeft w:val="0"/>
      <w:marRight w:val="0"/>
      <w:marTop w:val="0"/>
      <w:marBottom w:val="0"/>
      <w:divBdr>
        <w:top w:val="none" w:sz="0" w:space="0" w:color="auto"/>
        <w:left w:val="none" w:sz="0" w:space="0" w:color="auto"/>
        <w:bottom w:val="none" w:sz="0" w:space="0" w:color="auto"/>
        <w:right w:val="none" w:sz="0" w:space="0" w:color="auto"/>
      </w:divBdr>
    </w:div>
    <w:div w:id="1520968386">
      <w:bodyDiv w:val="1"/>
      <w:marLeft w:val="0"/>
      <w:marRight w:val="0"/>
      <w:marTop w:val="0"/>
      <w:marBottom w:val="0"/>
      <w:divBdr>
        <w:top w:val="none" w:sz="0" w:space="0" w:color="auto"/>
        <w:left w:val="none" w:sz="0" w:space="0" w:color="auto"/>
        <w:bottom w:val="none" w:sz="0" w:space="0" w:color="auto"/>
        <w:right w:val="none" w:sz="0" w:space="0" w:color="auto"/>
      </w:divBdr>
    </w:div>
    <w:div w:id="1590190829">
      <w:bodyDiv w:val="1"/>
      <w:marLeft w:val="0"/>
      <w:marRight w:val="0"/>
      <w:marTop w:val="0"/>
      <w:marBottom w:val="0"/>
      <w:divBdr>
        <w:top w:val="none" w:sz="0" w:space="0" w:color="auto"/>
        <w:left w:val="none" w:sz="0" w:space="0" w:color="auto"/>
        <w:bottom w:val="none" w:sz="0" w:space="0" w:color="auto"/>
        <w:right w:val="none" w:sz="0" w:space="0" w:color="auto"/>
      </w:divBdr>
    </w:div>
    <w:div w:id="1770009241">
      <w:bodyDiv w:val="1"/>
      <w:marLeft w:val="0"/>
      <w:marRight w:val="0"/>
      <w:marTop w:val="0"/>
      <w:marBottom w:val="0"/>
      <w:divBdr>
        <w:top w:val="none" w:sz="0" w:space="0" w:color="auto"/>
        <w:left w:val="none" w:sz="0" w:space="0" w:color="auto"/>
        <w:bottom w:val="none" w:sz="0" w:space="0" w:color="auto"/>
        <w:right w:val="none" w:sz="0" w:space="0" w:color="auto"/>
      </w:divBdr>
    </w:div>
    <w:div w:id="198908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4C43E-8AA4-4E32-94A3-080F21538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1518</Words>
  <Characters>8656</Characters>
  <Application>Microsoft Office Word</Application>
  <DocSecurity>0</DocSecurity>
  <Lines>72</Lines>
  <Paragraphs>20</Paragraphs>
  <ScaleCrop>false</ScaleCrop>
  <Company/>
  <LinksUpToDate>false</LinksUpToDate>
  <CharactersWithSpaces>10154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2024-04-09T05:06:00Z</dcterms:created>
  <dcterms:modified xsi:type="dcterms:W3CDTF">2024-04-09T05:17:00Z</dcterms:modified>
</cp:coreProperties>
</file>