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combined images detail fields related to </w:t>
      </w:r>
      <w:r w:rsidDel="00000000" w:rsidR="00000000" w:rsidRPr="00000000">
        <w:rPr>
          <w:b w:val="1"/>
          <w:rtl w:val="0"/>
        </w:rPr>
        <w:t xml:space="preserve">Adjuvant Chemotherapy</w:t>
      </w:r>
      <w:r w:rsidDel="00000000" w:rsidR="00000000" w:rsidRPr="00000000">
        <w:rPr>
          <w:rtl w:val="0"/>
        </w:rPr>
        <w:t xml:space="preserve"> and its associated effects, implementation, and outcomes. Here's a structured explanation: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h5s639bqw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2fzn6gzb4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Radiotherapy and Chemotherapy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Radiotherapie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whether radiotherapy was used.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Strahlenmenge in Gray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radiation dose administered (measured in Gray).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Chemotherapie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whether chemotherapy was part of the treatment.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der Zyklen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chemotherapy cycles administered.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0tvzud1ak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Chemotherapeutic Agents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5-Fluorouracil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chemotherapy drug.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Capecitabin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Oral prodrug of 5-Fluorouracil.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Oxaliplatin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Cisplatin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Carboplatin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Platinum-based drugs used for various cancers.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Epirubicin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Doxorubicin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Anthracycline drugs for breast and other cancers.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Gemcitabin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Docetaxel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Paclitaxel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Irinotecan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Various chemotherapy drugs for pancreatic, breast, ovarian, and colorectal cancers.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Sorafenib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Targeted therapy for liver and kidney cancers.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Folinsäure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5-Fluorouracil efficacy.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Chemotherapeutika I, II, III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unspecified chemotherapy agents.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r3qpbuuld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Interventional Therapies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TACE (Transarterial chemoembolization)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Localized liver cancer treatment.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RFA (Radiofrequency ablation)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destroy tumors.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Photodynamische Therapie (PDT)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Light-based cancer treatment.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TACE Zyklen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RFA Zyklen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PDT Zyklen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cycles for respective therapies.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ne3fth10p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Treatment Outcomes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Stabiler Verlauf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Stable disease (no progression or shrinkage).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Disease progression.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Tumor shrinkage.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Absence of detectable cancer.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j1mp3fg93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Tumor Board Recommendations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Tumorboardbeschluss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made by the tumor board.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Empfehlungen TuBo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from the tumor board.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Umsetzung TuBo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tumor board decisions.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e2ryvzl4d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Dosage Adjustments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Dosis nach KOF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Dose calculated by body surface area (Körperoberfläche).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Primäre Dosisreduktion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dose reduction.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Dosisreduktion im Verlauf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Dose reduction during treatment.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p16nudjr3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Side Effects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Nebenwirkung der CX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Side effects of chemotherapy.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Emesis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Vomiting.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Diarrhoe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Diarrhea.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Alopezie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Hair loss.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Hans-Fuß-Syndrom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Hand-foot syndrome.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KM-Depression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Bone marrow depression.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Neurotoxizität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Neurological toxicity.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Ototoxizität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Hearing loss or damage.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AZ Verschlechterung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condition deterioration.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Sonstige Nebenwirkungen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Other side effects.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Sonstige Nebenwirkungen Text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Text field for additional side effects.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8kfdbie9y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Status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ECOG-Stadium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ECOG performance status (patient’s functional ability).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Karnofsky-Index (%)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status percentage.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j0q39u3oz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Molecular Markers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HER-2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HER-2 receptor status, relevant in breast cancer.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Mikrosatelliten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Microsatellite instability.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61jsa3n0f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Treatment Implementation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Umsetzung Chemotherapie ungewiss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Uncertain implementation of chemotherapy.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information tracks chemotherapy treatments, their implementation, outcomes, side effects, and adjustments to ensure personalized and effective patient care.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