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refers to the </w:t>
      </w:r>
      <w:r w:rsidDel="00000000" w:rsidR="00000000" w:rsidRPr="00000000">
        <w:rPr>
          <w:b w:val="1"/>
          <w:rtl w:val="0"/>
        </w:rPr>
        <w:t xml:space="preserve">Borrmann classification</w:t>
      </w:r>
      <w:r w:rsidDel="00000000" w:rsidR="00000000" w:rsidRPr="00000000">
        <w:rPr>
          <w:rtl w:val="0"/>
        </w:rPr>
        <w:t xml:space="preserve">, which is used to describe the macroscopic growth patterns of advanced gastric cancer. Here is an explanation of the entries: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Polypöses Wachstum (Polypoid Growth)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appears as a polyp-like, protruding mass.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Usually well-defined and localized.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Schüsselförmiges scharf begrenztes Ulcus (Fungating, Sharply Demarcated Ulcer)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has a crater-like shape with clear and sharp edges.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Commonly associated with ulceration.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Unscharf begrenztes Ulcus (Ulcer with Poorly Defined Margins)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shows an ulcerated structure with indistinct or poorly defined edges.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Diffus infiltrierendes Wachstum (Diffuse Infiltrative Growth)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grows diffusely and infiltrates the gastric wall.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Associated with linitis plastica (thickened and rigid stomach wall).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Keine Angabe (No Information Provided)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that no classification information is available for the tumor.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