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the </w:t>
      </w:r>
      <w:r w:rsidDel="00000000" w:rsidR="00000000" w:rsidRPr="00000000">
        <w:rPr>
          <w:b w:val="1"/>
          <w:rtl w:val="0"/>
        </w:rPr>
        <w:t xml:space="preserve">histological types</w:t>
      </w:r>
      <w:r w:rsidDel="00000000" w:rsidR="00000000" w:rsidRPr="00000000">
        <w:rPr>
          <w:rtl w:val="0"/>
        </w:rPr>
        <w:t xml:space="preserve"> of cholangiocarcinoma (CCC), based on microscopic features. Here's an explanation of each category: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Mucinous (mucinös)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produces mucus, often associated with gland-forming cancers.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Cribriform (cribriform)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a perforated, sieve-like glandular structure.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Tubular-acinar (tubulär-acinös)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forms small tube-like or acinar (cluster-like) glandular structures.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Papillary (papillär)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a papillary (finger-like) structure.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Signet-ring type (Siegelringtyp)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cells have a signet-ring appearance, where a large vacuole displaces the nucleus to one side.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Columnar cell type (zylinderzellig)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cells are tall and column-shaped, resembling columnar epithelium.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about the histological type.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essential for understanding the tumor's cellular structure, which aids in diagnosis, treatment decisions, and prognosis.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