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classifies the stages of </w:t>
      </w:r>
      <w:r w:rsidDel="00000000" w:rsidR="00000000" w:rsidRPr="00000000">
        <w:rPr>
          <w:b w:val="1"/>
          <w:rtl w:val="0"/>
        </w:rPr>
        <w:t xml:space="preserve">chronic kidney disease (CKD)</w:t>
      </w:r>
      <w:r w:rsidDel="00000000" w:rsidR="00000000" w:rsidRPr="00000000">
        <w:rPr>
          <w:rtl w:val="0"/>
        </w:rPr>
        <w:t xml:space="preserve"> ("Chronische Niereninsuffizienz") based on the glomerular filtration rate (GFR), which measures kidney function. Here's an explanation of each stage: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regarding the stage or GFR.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Stage I (Stadium 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GFR ≥ 90 ml/min/1.73 m²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 or high kidney function with evidence of kidney damage (e.g., proteinuria).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Stage II (Stadium II)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GFR 60–89 ml/min/1.73 m²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Mild decrease in kidney function with evidence of kidney damage.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Stage IIIa (Stadium IIIa)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GFR 48–59 ml/min/1.73 m²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decrease in kidney function.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Stage IIIb (Stadium IIIb)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GFR 30–44 ml/min/1.73 m²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severe decrease in kidney function within the moderate range.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Stage IV (Stadium IV)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GFR 15–29 ml/min/1.73 m²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Severe decrease in kidney function.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Stage V (Stadium 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GFR &lt; 15 ml/min/1.73 m²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End-stage kidney disease (ESKD) or kidney failure, often requiring dialysis or transplantation.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widely used in nephrology to assess and monitor the progression of chronic kidney disease.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