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This table titled </w:t>
      </w:r>
      <w:r w:rsidDel="00000000" w:rsidR="00000000" w:rsidRPr="00000000">
        <w:rPr>
          <w:b w:val="1"/>
          <w:rtl w:val="0"/>
        </w:rPr>
        <w:t xml:space="preserve">"C Klatskin Klassifikation"</w:t>
      </w:r>
      <w:r w:rsidDel="00000000" w:rsidR="00000000" w:rsidRPr="00000000">
        <w:rPr>
          <w:rtl w:val="0"/>
        </w:rPr>
        <w:t xml:space="preserve"> refers to the </w:t>
      </w:r>
      <w:r w:rsidDel="00000000" w:rsidR="00000000" w:rsidRPr="00000000">
        <w:rPr>
          <w:b w:val="1"/>
          <w:rtl w:val="0"/>
        </w:rPr>
        <w:t xml:space="preserve">Bismuth classification</w:t>
      </w:r>
      <w:r w:rsidDel="00000000" w:rsidR="00000000" w:rsidRPr="00000000">
        <w:rPr>
          <w:rtl w:val="0"/>
        </w:rPr>
        <w:t xml:space="preserve"> for Klatskin tumors (hilar cholangiocarcinomas), which are cancers located at the junction of the right and left hepatic bile ducts. The classification is based on the location and extent of bile duct involvement. Here's an explanation of the entries:</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b w:val="1"/>
          <w:rtl w:val="0"/>
        </w:rPr>
        <w:t xml:space="preserve">Klatskin Typ I nach Bismuth</w:t>
      </w:r>
      <w:r w:rsidDel="00000000" w:rsidR="00000000" w:rsidRPr="00000000">
        <w:rPr>
          <w:rtl w:val="0"/>
        </w:rPr>
        <w:t xml:space="preserve">:</w:t>
      </w:r>
    </w:p>
    <w:p w:rsidR="00000000" w:rsidDel="00000000" w:rsidP="00000000" w:rsidRDefault="00000000" w:rsidRPr="00000000" w14:paraId="00000003">
      <w:pPr>
        <w:numPr>
          <w:ilvl w:val="1"/>
          <w:numId w:val="1"/>
        </w:numPr>
        <w:spacing w:after="0" w:afterAutospacing="0" w:before="0" w:beforeAutospacing="0" w:lineRule="auto"/>
        <w:ind w:left="1440" w:hanging="360"/>
      </w:pPr>
      <w:r w:rsidDel="00000000" w:rsidR="00000000" w:rsidRPr="00000000">
        <w:rPr>
          <w:rtl w:val="0"/>
        </w:rPr>
        <w:t xml:space="preserve">Tumor involves the common hepatic duct below the bifurcation (right and left hepatic ducts are not involved).</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b w:val="1"/>
          <w:rtl w:val="0"/>
        </w:rPr>
        <w:t xml:space="preserve">Klatskin Typ II nach Bismuth</w:t>
      </w:r>
      <w:r w:rsidDel="00000000" w:rsidR="00000000" w:rsidRPr="00000000">
        <w:rPr>
          <w:rtl w:val="0"/>
        </w:rPr>
        <w:t xml:space="preserve">:</w:t>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rtl w:val="0"/>
        </w:rPr>
        <w:t xml:space="preserve">Tumor involves the bifurcation of the right and left hepatic ducts but does not extend into the secondary branches.</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Klatskin Typ IIIa nach Bismuth</w:t>
      </w:r>
      <w:r w:rsidDel="00000000" w:rsidR="00000000" w:rsidRPr="00000000">
        <w:rPr>
          <w:rtl w:val="0"/>
        </w:rPr>
        <w:t xml:space="preserve">:</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rtl w:val="0"/>
        </w:rPr>
        <w:t xml:space="preserve">Tumor extends into the secondary branches of the </w:t>
      </w:r>
      <w:r w:rsidDel="00000000" w:rsidR="00000000" w:rsidRPr="00000000">
        <w:rPr>
          <w:b w:val="1"/>
          <w:rtl w:val="0"/>
        </w:rPr>
        <w:t xml:space="preserve">right hepatic duct</w:t>
      </w:r>
      <w:r w:rsidDel="00000000" w:rsidR="00000000" w:rsidRPr="00000000">
        <w:rPr>
          <w:rtl w:val="0"/>
        </w:rPr>
        <w:t xml:space="preserve">.</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Klatskin Typ IIIb nach Bismuth</w:t>
      </w:r>
      <w:r w:rsidDel="00000000" w:rsidR="00000000" w:rsidRPr="00000000">
        <w:rPr>
          <w:rtl w:val="0"/>
        </w:rPr>
        <w:t xml:space="preserve">:</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Tumor extends into the secondary branches of the </w:t>
      </w:r>
      <w:r w:rsidDel="00000000" w:rsidR="00000000" w:rsidRPr="00000000">
        <w:rPr>
          <w:b w:val="1"/>
          <w:rtl w:val="0"/>
        </w:rPr>
        <w:t xml:space="preserve">left hepatic duct</w:t>
      </w:r>
      <w:r w:rsidDel="00000000" w:rsidR="00000000" w:rsidRPr="00000000">
        <w:rPr>
          <w:rtl w:val="0"/>
        </w:rPr>
        <w:t xml:space="preserve">.</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Klatskin Typ IV nach Bismuth</w:t>
      </w:r>
      <w:r w:rsidDel="00000000" w:rsidR="00000000" w:rsidRPr="00000000">
        <w:rPr>
          <w:rtl w:val="0"/>
        </w:rPr>
        <w:t xml:space="preserve">:</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Tumor involves the secondary branches of </w:t>
      </w:r>
      <w:r w:rsidDel="00000000" w:rsidR="00000000" w:rsidRPr="00000000">
        <w:rPr>
          <w:b w:val="1"/>
          <w:rtl w:val="0"/>
        </w:rPr>
        <w:t xml:space="preserve">both right and left hepatic ducts</w:t>
      </w:r>
      <w:r w:rsidDel="00000000" w:rsidR="00000000" w:rsidRPr="00000000">
        <w:rPr>
          <w:rtl w:val="0"/>
        </w:rPr>
        <w:t xml:space="preserve"> or is multicentric (extensive).</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99 (keine Angabe)</w:t>
      </w:r>
      <w:r w:rsidDel="00000000" w:rsidR="00000000" w:rsidRPr="00000000">
        <w:rPr>
          <w:rtl w:val="0"/>
        </w:rPr>
        <w:t xml:space="preserve">:</w:t>
      </w:r>
    </w:p>
    <w:p w:rsidR="00000000" w:rsidDel="00000000" w:rsidP="00000000" w:rsidRDefault="00000000" w:rsidRPr="00000000" w14:paraId="0000000D">
      <w:pPr>
        <w:numPr>
          <w:ilvl w:val="1"/>
          <w:numId w:val="1"/>
        </w:numPr>
        <w:spacing w:after="240" w:before="0" w:beforeAutospacing="0" w:lineRule="auto"/>
        <w:ind w:left="1440" w:hanging="360"/>
      </w:pPr>
      <w:r w:rsidDel="00000000" w:rsidR="00000000" w:rsidRPr="00000000">
        <w:rPr>
          <w:rtl w:val="0"/>
        </w:rPr>
        <w:t xml:space="preserve">No information provided about the classification.</w:t>
      </w:r>
    </w:p>
    <w:p w:rsidR="00000000" w:rsidDel="00000000" w:rsidP="00000000" w:rsidRDefault="00000000" w:rsidRPr="00000000" w14:paraId="0000000E">
      <w:pPr>
        <w:spacing w:after="240" w:before="240" w:lineRule="auto"/>
        <w:rPr/>
      </w:pPr>
      <w:r w:rsidDel="00000000" w:rsidR="00000000" w:rsidRPr="00000000">
        <w:rPr>
          <w:rtl w:val="0"/>
        </w:rPr>
        <w:t xml:space="preserve">This classification is essential for determining the extent of the tumor, guiding treatment (e.g., surgical resection, palliative care), and predicting prognosis.</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