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Lauren classification</w:t>
      </w:r>
      <w:r w:rsidDel="00000000" w:rsidR="00000000" w:rsidRPr="00000000">
        <w:rPr>
          <w:rtl w:val="0"/>
        </w:rPr>
        <w:t xml:space="preserve">, which categorizes gastric (stomach) cancer into different histological types. Each entry includes: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intestinaler Typ (Intestinal Type)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has a glandular structure resembling intestinal tissue.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 occurs in older individuals and is often linked to environmental factors like diet and </w:t>
      </w:r>
      <w:r w:rsidDel="00000000" w:rsidR="00000000" w:rsidRPr="00000000">
        <w:rPr>
          <w:b w:val="1"/>
          <w:rtl w:val="0"/>
        </w:rPr>
        <w:t xml:space="preserve">Helicobacter pylori</w:t>
      </w:r>
      <w:r w:rsidDel="00000000" w:rsidR="00000000" w:rsidRPr="00000000">
        <w:rPr>
          <w:rtl w:val="0"/>
        </w:rPr>
        <w:t xml:space="preserve"> infection.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associated with a better prognosis compared to the diffuse type.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diffuser Typ (Diffuse Type)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type is poorly differentiated and consists of scattered cancer cells that are not cohesive.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often linked to genetic factors rather than environmental ones.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tends to be more aggressive and is associated with a worse prognosis.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Mischtyp (Mixed Type)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represents a combination of both intestinal and diffuse types.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Histologically, it exhibits characteristics of both types.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keine Angabe (No Information Provided)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that no information is available regarding the classification for the specific case.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widely used in the study of gastric cancer to describe tumor behavior and guide treatment decisions.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