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relates to the </w:t>
      </w:r>
      <w:r w:rsidDel="00000000" w:rsidR="00000000" w:rsidRPr="00000000">
        <w:rPr>
          <w:b w:val="1"/>
          <w:rtl w:val="0"/>
        </w:rPr>
        <w:t xml:space="preserve">perineural invasion</w:t>
      </w:r>
      <w:r w:rsidDel="00000000" w:rsidR="00000000" w:rsidRPr="00000000">
        <w:rPr>
          <w:rtl w:val="0"/>
        </w:rPr>
        <w:t xml:space="preserve"> (PN) classification, commonly used in cancer staging and pathology. The columns include: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"Perineuralsch"</w:t>
      </w:r>
      <w:r w:rsidDel="00000000" w:rsidR="00000000" w:rsidRPr="00000000">
        <w:rPr>
          <w:rtl w:val="0"/>
        </w:rPr>
        <w:t xml:space="preserve">: Likely represents the identification or numbering system for perineural status.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"Perineuralsch"</w:t>
      </w:r>
      <w:r w:rsidDel="00000000" w:rsidR="00000000" w:rsidRPr="00000000">
        <w:rPr>
          <w:rtl w:val="0"/>
        </w:rPr>
        <w:t xml:space="preserve"> (again, same name): Indicates the </w:t>
      </w:r>
      <w:r w:rsidDel="00000000" w:rsidR="00000000" w:rsidRPr="00000000">
        <w:rPr>
          <w:b w:val="1"/>
          <w:rtl w:val="0"/>
        </w:rPr>
        <w:t xml:space="preserve">PN classification</w:t>
      </w:r>
      <w:r w:rsidDel="00000000" w:rsidR="00000000" w:rsidRPr="00000000">
        <w:rPr>
          <w:rtl w:val="0"/>
        </w:rPr>
        <w:t xml:space="preserve">, which assesses the presence of cancer spread along nerves.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categories listed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Pn0</w:t>
      </w:r>
      <w:r w:rsidDel="00000000" w:rsidR="00000000" w:rsidRPr="00000000">
        <w:rPr>
          <w:rtl w:val="0"/>
        </w:rPr>
        <w:t xml:space="preserve">: No evidence of perineural invasion.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Pn1</w:t>
      </w:r>
      <w:r w:rsidDel="00000000" w:rsidR="00000000" w:rsidRPr="00000000">
        <w:rPr>
          <w:rtl w:val="0"/>
        </w:rPr>
        <w:t xml:space="preserve">: Perineural invasion is present.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Pnx</w:t>
      </w:r>
      <w:r w:rsidDel="00000000" w:rsidR="00000000" w:rsidRPr="00000000">
        <w:rPr>
          <w:rtl w:val="0"/>
        </w:rPr>
        <w:t xml:space="preserve">: Perineural invasion status cannot be assessed (insufficient information).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important in oncology as perineural invasion is often associated with aggressive tumors and may influence treatment planning and prognosis.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