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outlines the </w:t>
      </w:r>
      <w:r w:rsidDel="00000000" w:rsidR="00000000" w:rsidRPr="00000000">
        <w:rPr>
          <w:b w:val="1"/>
          <w:rtl w:val="0"/>
        </w:rPr>
        <w:t xml:space="preserve">tumor (T)</w:t>
      </w:r>
      <w:r w:rsidDel="00000000" w:rsidR="00000000" w:rsidRPr="00000000">
        <w:rPr>
          <w:rtl w:val="0"/>
        </w:rPr>
        <w:t xml:space="preserve"> classification from the TNM staging system, which describes the size and extent of the primary tumor. The columns include: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"Tumor Zahl"</w:t>
      </w:r>
      <w:r w:rsidDel="00000000" w:rsidR="00000000" w:rsidRPr="00000000">
        <w:rPr>
          <w:rtl w:val="0"/>
        </w:rPr>
        <w:t xml:space="preserve">: Translates to "Tumor Number," indicating the numbering or identification of cases or stages.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"Tumor"</w:t>
      </w:r>
      <w:r w:rsidDel="00000000" w:rsidR="00000000" w:rsidRPr="00000000">
        <w:rPr>
          <w:rtl w:val="0"/>
        </w:rPr>
        <w:t xml:space="preserve">: Refers to the </w:t>
      </w:r>
      <w:r w:rsidDel="00000000" w:rsidR="00000000" w:rsidRPr="00000000">
        <w:rPr>
          <w:b w:val="1"/>
          <w:rtl w:val="0"/>
        </w:rPr>
        <w:t xml:space="preserve">T classification</w:t>
      </w:r>
      <w:r w:rsidDel="00000000" w:rsidR="00000000" w:rsidRPr="00000000">
        <w:rPr>
          <w:rtl w:val="0"/>
        </w:rPr>
        <w:t xml:space="preserve"> in the TNM system.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values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pT0</w:t>
      </w:r>
      <w:r w:rsidDel="00000000" w:rsidR="00000000" w:rsidRPr="00000000">
        <w:rPr>
          <w:rtl w:val="0"/>
        </w:rPr>
        <w:t xml:space="preserve">: No evidence of the primary tumor.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pTis/Ta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Tis</w:t>
      </w:r>
      <w:r w:rsidDel="00000000" w:rsidR="00000000" w:rsidRPr="00000000">
        <w:rPr>
          <w:rtl w:val="0"/>
        </w:rPr>
        <w:t xml:space="preserve"> means carcinoma in situ (tumor confined to its site of origin and not invasive); </w:t>
      </w:r>
      <w:r w:rsidDel="00000000" w:rsidR="00000000" w:rsidRPr="00000000">
        <w:rPr>
          <w:b w:val="1"/>
          <w:rtl w:val="0"/>
        </w:rPr>
        <w:t xml:space="preserve">Ta</w:t>
      </w:r>
      <w:r w:rsidDel="00000000" w:rsidR="00000000" w:rsidRPr="00000000">
        <w:rPr>
          <w:rtl w:val="0"/>
        </w:rPr>
        <w:t xml:space="preserve"> indicates non-invasive papillary carcinoma, often used in bladder cancer.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pT1</w:t>
      </w:r>
      <w:r w:rsidDel="00000000" w:rsidR="00000000" w:rsidRPr="00000000">
        <w:rPr>
          <w:rtl w:val="0"/>
        </w:rPr>
        <w:t xml:space="preserve">: Tumor invades the subepithelial connective tissue or equivalent.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pT2</w:t>
      </w:r>
      <w:r w:rsidDel="00000000" w:rsidR="00000000" w:rsidRPr="00000000">
        <w:rPr>
          <w:rtl w:val="0"/>
        </w:rPr>
        <w:t xml:space="preserve">: Tumor invades into surrounding structures (e.g., muscle).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pT3</w:t>
      </w:r>
      <w:r w:rsidDel="00000000" w:rsidR="00000000" w:rsidRPr="00000000">
        <w:rPr>
          <w:rtl w:val="0"/>
        </w:rPr>
        <w:t xml:space="preserve">: Tumor invades into deeper structures or tissues.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pT4</w:t>
      </w:r>
      <w:r w:rsidDel="00000000" w:rsidR="00000000" w:rsidRPr="00000000">
        <w:rPr>
          <w:rtl w:val="0"/>
        </w:rPr>
        <w:t xml:space="preserve">: Tumor invades into adjacent organs or tissues (e.g., beyond the organ of origin).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pTx</w:t>
      </w:r>
      <w:r w:rsidDel="00000000" w:rsidR="00000000" w:rsidRPr="00000000">
        <w:rPr>
          <w:rtl w:val="0"/>
        </w:rPr>
        <w:t xml:space="preserve">: Primary tumor cannot be assessed due to insufficient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