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represents the </w:t>
      </w:r>
      <w:r w:rsidDel="00000000" w:rsidR="00000000" w:rsidRPr="00000000">
        <w:rPr>
          <w:b w:val="1"/>
          <w:rtl w:val="0"/>
        </w:rPr>
        <w:t xml:space="preserve">Clavien-Dindo classification</w:t>
      </w:r>
      <w:r w:rsidDel="00000000" w:rsidR="00000000" w:rsidRPr="00000000">
        <w:rPr>
          <w:rtl w:val="0"/>
        </w:rPr>
        <w:t xml:space="preserve">, which is used to grade postoperative complications based on their severity. The columns include: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"Clavien-Dindo"</w:t>
      </w:r>
      <w:r w:rsidDel="00000000" w:rsidR="00000000" w:rsidRPr="00000000">
        <w:rPr>
          <w:rtl w:val="0"/>
        </w:rPr>
        <w:t xml:space="preserve">: The identifier or grade of the complication.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"Grad"</w:t>
      </w:r>
      <w:r w:rsidDel="00000000" w:rsidR="00000000" w:rsidRPr="00000000">
        <w:rPr>
          <w:rtl w:val="0"/>
        </w:rPr>
        <w:t xml:space="preserve">: The specific grade level.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"Definition"</w:t>
      </w:r>
      <w:r w:rsidDel="00000000" w:rsidR="00000000" w:rsidRPr="00000000">
        <w:rPr>
          <w:rtl w:val="0"/>
        </w:rPr>
        <w:t xml:space="preserve">: Description of the complication's severity and required interventions.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grades are: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 0</w:t>
      </w:r>
      <w:r w:rsidDel="00000000" w:rsidR="00000000" w:rsidRPr="00000000">
        <w:rPr>
          <w:rtl w:val="0"/>
        </w:rPr>
        <w:t xml:space="preserve">: No postoperative complications.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 I</w:t>
      </w:r>
      <w:r w:rsidDel="00000000" w:rsidR="00000000" w:rsidRPr="00000000">
        <w:rPr>
          <w:rtl w:val="0"/>
        </w:rPr>
        <w:t xml:space="preserve">: Any deviation from the normal postoperative course without the need for intervention.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 II</w:t>
      </w:r>
      <w:r w:rsidDel="00000000" w:rsidR="00000000" w:rsidRPr="00000000">
        <w:rPr>
          <w:rtl w:val="0"/>
        </w:rPr>
        <w:t xml:space="preserve">: Complications requiring medical treatment, including parenteral nutrition and blood transfusions.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 III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Grad IIIa</w:t>
      </w:r>
      <w:r w:rsidDel="00000000" w:rsidR="00000000" w:rsidRPr="00000000">
        <w:rPr>
          <w:rtl w:val="0"/>
        </w:rPr>
        <w:t xml:space="preserve">: Complications requiring surgical, endoscopic, or radiologic intervention without general anesthesia.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Grad IIIb</w:t>
      </w:r>
      <w:r w:rsidDel="00000000" w:rsidR="00000000" w:rsidRPr="00000000">
        <w:rPr>
          <w:rtl w:val="0"/>
        </w:rPr>
        <w:t xml:space="preserve">: Complications requiring intervention under general anesthesia.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 IV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Grad IVa</w:t>
      </w:r>
      <w:r w:rsidDel="00000000" w:rsidR="00000000" w:rsidRPr="00000000">
        <w:rPr>
          <w:rtl w:val="0"/>
        </w:rPr>
        <w:t xml:space="preserve">: Life-threatening complications requiring intensive care, with dysfunction of a single organ (including dialysis).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Grad IVb</w:t>
      </w:r>
      <w:r w:rsidDel="00000000" w:rsidR="00000000" w:rsidRPr="00000000">
        <w:rPr>
          <w:rtl w:val="0"/>
        </w:rPr>
        <w:t xml:space="preserve">: Dysfunction of multiple organs.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 V</w:t>
      </w:r>
      <w:r w:rsidDel="00000000" w:rsidR="00000000" w:rsidRPr="00000000">
        <w:rPr>
          <w:rtl w:val="0"/>
        </w:rPr>
        <w:t xml:space="preserve">: Death of the patient.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classification is widely used in surgical and medical fields to standardize the reporting and evaluation of complications, aiding in clinical decision-making and research.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